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195"/>
        <w:gridCol w:w="5949"/>
      </w:tblGrid>
      <w:tr w:rsidR="00EE23CC" w:rsidRPr="009E5F5F" w:rsidTr="001F70B4">
        <w:trPr>
          <w:trHeight w:val="1695"/>
        </w:trPr>
        <w:tc>
          <w:tcPr>
            <w:tcW w:w="2331" w:type="pct"/>
          </w:tcPr>
          <w:p w:rsidR="00EE23CC" w:rsidRPr="009E5F5F" w:rsidRDefault="005D3B29" w:rsidP="00EE23CC">
            <w:r w:rsidRPr="009E5F5F">
              <w:rPr>
                <w:noProof/>
                <w:lang w:eastAsia="cs-CZ"/>
              </w:rPr>
              <w:drawing>
                <wp:inline distT="0" distB="0" distL="0" distR="0" wp14:anchorId="4BD08A5D" wp14:editId="1A58E76E">
                  <wp:extent cx="2731485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333402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48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9E5F5F" w:rsidRDefault="00EE23CC" w:rsidP="00EE23CC"/>
        </w:tc>
      </w:tr>
    </w:tbl>
    <w:tbl>
      <w:tblPr>
        <w:tblStyle w:val="Mkatabulky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9E5F5F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9E5F5F" w:rsidRDefault="005D3B29" w:rsidP="001F70B4">
            <w:r w:rsidRPr="009E5F5F">
              <w:rPr>
                <w:noProof/>
                <w:lang w:eastAsia="cs-CZ"/>
              </w:rPr>
              <w:drawing>
                <wp:inline distT="0" distB="0" distL="0" distR="0" wp14:anchorId="4E2D4A5F" wp14:editId="3A8AEFA9">
                  <wp:extent cx="7562850" cy="920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817116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B2D" w:rsidRPr="009E5F5F" w:rsidRDefault="00A64B2D" w:rsidP="00A64B2D">
      <w:pPr>
        <w:pStyle w:val="newsTitle"/>
        <w:spacing w:before="160"/>
        <w:rPr>
          <w:rFonts w:cs="Arial"/>
          <w:b/>
          <w:sz w:val="22"/>
        </w:rPr>
      </w:pPr>
      <w:r w:rsidRPr="009E5F5F">
        <w:rPr>
          <w:sz w:val="22"/>
        </w:rPr>
        <w:t>Evropská zpráva o drogách 2019: hlavní body</w:t>
      </w:r>
    </w:p>
    <w:p w:rsidR="00A64B2D" w:rsidRPr="009E5F5F" w:rsidRDefault="00C219B6" w:rsidP="00A64B2D">
      <w:pPr>
        <w:pStyle w:val="newsSubTitle"/>
        <w:rPr>
          <w:rFonts w:cs="Arial"/>
          <w:sz w:val="22"/>
        </w:rPr>
      </w:pPr>
      <w:r w:rsidRPr="009E5F5F">
        <w:rPr>
          <w:sz w:val="22"/>
        </w:rPr>
        <w:t>Rekordní počty záchytů kokainu v konkurenčním prostředí na trhu s drogami</w:t>
      </w:r>
    </w:p>
    <w:p w:rsidR="008F50A2" w:rsidRDefault="00702B70" w:rsidP="006E7CA7">
      <w:pPr>
        <w:spacing w:after="260" w:line="260" w:lineRule="exact"/>
      </w:pPr>
      <w:r>
        <w:t>(LISABON, 6. 6. 2019</w:t>
      </w:r>
      <w:bookmarkStart w:id="0" w:name="_GoBack"/>
      <w:bookmarkEnd w:id="0"/>
      <w:r w:rsidR="00A64B2D" w:rsidRPr="00EF740F">
        <w:t>)</w:t>
      </w:r>
      <w:r w:rsidR="00A64B2D" w:rsidRPr="009E5F5F">
        <w:t xml:space="preserve"> Evropa vykazuje známky rostoucí dostupnosti kokainu – počet záchytů i zachycené množství této drogy dosahují rekordní úrovně, jak uvádí </w:t>
      </w:r>
      <w:r w:rsidR="00A64B2D" w:rsidRPr="009E5F5F">
        <w:rPr>
          <w:b/>
          <w:i/>
        </w:rPr>
        <w:t>Evropská zpráva o drogách 2019: Trendy a vývoj</w:t>
      </w:r>
      <w:r w:rsidR="00A64B2D" w:rsidRPr="009E5F5F">
        <w:t xml:space="preserve"> zveřejněná dnes </w:t>
      </w:r>
      <w:r w:rsidR="00A64B2D" w:rsidRPr="009E5F5F">
        <w:rPr>
          <w:b/>
        </w:rPr>
        <w:t>Evropským monitorovacím centrem pro drogy a drogovou závislost (EMCDDA)</w:t>
      </w:r>
      <w:r w:rsidR="00A64B2D" w:rsidRPr="009E5F5F">
        <w:t xml:space="preserve"> v Bruselu (</w:t>
      </w:r>
      <w:r w:rsidR="00A64B2D" w:rsidRPr="009E5F5F">
        <w:rPr>
          <w:vertAlign w:val="superscript"/>
        </w:rPr>
        <w:t>1</w:t>
      </w:r>
      <w:r w:rsidR="00A64B2D" w:rsidRPr="009E5F5F">
        <w:t xml:space="preserve">). Ve svém každoročním přehledu se agentura věnuje i těmto tématům: výzvy spojené s heroinem a novými syntetickými </w:t>
      </w:r>
      <w:proofErr w:type="spellStart"/>
      <w:r w:rsidR="00A64B2D" w:rsidRPr="009E5F5F">
        <w:t>opioidy</w:t>
      </w:r>
      <w:proofErr w:type="spellEnd"/>
      <w:r w:rsidR="00A64B2D" w:rsidRPr="009E5F5F">
        <w:t>, nejnovější vývoj na trhu s konopím, rostoucí podíl Evropy na výrobě syntetických drog a využití digitálních technologií ke zkvalitnění zdravotní péče v oblasti drog.</w:t>
      </w:r>
    </w:p>
    <w:p w:rsidR="008F50A2" w:rsidRDefault="008734E8" w:rsidP="004A2838">
      <w:pPr>
        <w:spacing w:after="260" w:line="260" w:lineRule="exact"/>
        <w:rPr>
          <w:iCs/>
        </w:rPr>
      </w:pPr>
      <w:r w:rsidRPr="009E5F5F">
        <w:rPr>
          <w:b/>
          <w:szCs w:val="20"/>
        </w:rPr>
        <w:t xml:space="preserve">Evropský komisař pro migraci, vnitřní věci a občanství </w:t>
      </w:r>
      <w:proofErr w:type="spellStart"/>
      <w:r w:rsidRPr="009E5F5F">
        <w:rPr>
          <w:b/>
          <w:szCs w:val="20"/>
        </w:rPr>
        <w:t>Dimitris</w:t>
      </w:r>
      <w:proofErr w:type="spellEnd"/>
      <w:r w:rsidRPr="009E5F5F">
        <w:rPr>
          <w:b/>
          <w:szCs w:val="20"/>
        </w:rPr>
        <w:t xml:space="preserve"> </w:t>
      </w:r>
      <w:proofErr w:type="spellStart"/>
      <w:r w:rsidRPr="009E5F5F">
        <w:rPr>
          <w:b/>
          <w:szCs w:val="20"/>
        </w:rPr>
        <w:t>Avramopoulos</w:t>
      </w:r>
      <w:proofErr w:type="spellEnd"/>
      <w:r w:rsidRPr="009E5F5F">
        <w:t xml:space="preserve"> uvedl:</w:t>
      </w:r>
      <w:r w:rsidR="000B1E13" w:rsidRPr="009E5F5F">
        <w:t xml:space="preserve"> </w:t>
      </w:r>
      <w:r w:rsidR="000B1E13" w:rsidRPr="009E5F5F">
        <w:rPr>
          <w:rStyle w:val="header-line-3"/>
          <w:rFonts w:cs="Arial"/>
          <w:szCs w:val="20"/>
        </w:rPr>
        <w:t>„d</w:t>
      </w:r>
      <w:r w:rsidR="000B1E13" w:rsidRPr="009E5F5F">
        <w:rPr>
          <w:iCs/>
        </w:rPr>
        <w:t>nes zveřejněná zpráva ukazuje složitost evropské drogové problematiky. Drogy nadále představují neustále se vyvíjející, vícerozměrnou hrozbu pro naši společnost a ovlivňují životy milionů občanů po celém světě</w:t>
      </w:r>
      <w:r w:rsidR="000B1E13" w:rsidRPr="009E5F5F">
        <w:t xml:space="preserve">. </w:t>
      </w:r>
      <w:r w:rsidR="000B1E13" w:rsidRPr="009E5F5F">
        <w:rPr>
          <w:iCs/>
        </w:rPr>
        <w:t xml:space="preserve">Je zapotřebí koordinovanější přístup, který bude řešit jak nabídku drog, tak poptávku po nich. Naše úsilí přináší ovoce. Zavedli jsme nová pravidla týkající se zákazu psychoaktivních látek a posílili spolupráci s mezinárodními partnery. Je však třeba zaměřit se také na roli digitalizace na trhu s drogami. Času není nazbyt. Koordinace </w:t>
      </w:r>
      <w:r w:rsidR="0023735B">
        <w:rPr>
          <w:iCs/>
        </w:rPr>
        <w:br/>
      </w:r>
      <w:r w:rsidR="000B1E13" w:rsidRPr="009E5F5F">
        <w:rPr>
          <w:iCs/>
        </w:rPr>
        <w:t>je zapotřebí na národní, evropské i mezinárodní úrovni. Společně s agenturou EU pro drogy budeme v tomto úsilí nadále sehrávat vedoucí úlohu.“</w:t>
      </w:r>
    </w:p>
    <w:p w:rsidR="008F50A2" w:rsidRDefault="00C64A0E" w:rsidP="008F50A2">
      <w:pPr>
        <w:spacing w:after="260" w:line="260" w:lineRule="exact"/>
      </w:pPr>
      <w:r w:rsidRPr="009E5F5F">
        <w:t xml:space="preserve">Zpráva </w:t>
      </w:r>
      <w:r w:rsidRPr="009E5F5F">
        <w:rPr>
          <w:b/>
          <w:szCs w:val="20"/>
        </w:rPr>
        <w:t>EMCDDA</w:t>
      </w:r>
      <w:r w:rsidRPr="009E5F5F">
        <w:t xml:space="preserve"> poukazuje na setrvale vysokou dostupnost většiny nelegálních látek. Z nejnovějších dat vyplývá, že v Evropě (v EU-28, v Turecku a v Norsku) je ročně hlášen více než 1 milion záchytů nelegálních drog.</w:t>
      </w:r>
      <w:r w:rsidR="006E7CA7" w:rsidRPr="009E5F5F">
        <w:t xml:space="preserve"> </w:t>
      </w:r>
      <w:r w:rsidRPr="009E5F5F">
        <w:t>Přibližně 96 milionů dospělých (ve věku 15–64 let) v EU alespoň jednou v životě vyzkoušelo nelegální drogu, přičemž se odhaduje, že léčbě kvůli užívání nelegálních drog se každoročně podrobí 1,2 milionu lidí (EU-28). V roce 2018 bylo v EU poprvé zaznamenáno 55 nových psychoaktivních látek, čímž se celkový počet těchto látek monitorovaných agenturou zvýšil na 730.</w:t>
      </w:r>
    </w:p>
    <w:p w:rsidR="0019413F" w:rsidRPr="009E5F5F" w:rsidRDefault="0019413F" w:rsidP="008F50A2">
      <w:pPr>
        <w:spacing w:after="260" w:line="260" w:lineRule="exact"/>
        <w:rPr>
          <w:rFonts w:cs="Arial"/>
          <w:szCs w:val="20"/>
        </w:rPr>
      </w:pPr>
      <w:r w:rsidRPr="009E5F5F">
        <w:rPr>
          <w:b/>
        </w:rPr>
        <w:t xml:space="preserve">Ředitel agentury EMCDDA Alexis </w:t>
      </w:r>
      <w:proofErr w:type="spellStart"/>
      <w:r w:rsidRPr="009E5F5F">
        <w:rPr>
          <w:b/>
        </w:rPr>
        <w:t>Goosdeel</w:t>
      </w:r>
      <w:proofErr w:type="spellEnd"/>
      <w:r w:rsidRPr="009E5F5F">
        <w:t xml:space="preserve"> uvedl: „Problémů, kterým v souvislosti s drogami čelíme, i nadále přibývá.</w:t>
      </w:r>
      <w:r w:rsidR="006E7CA7" w:rsidRPr="009E5F5F">
        <w:t xml:space="preserve"> </w:t>
      </w:r>
      <w:r w:rsidR="00C219B6" w:rsidRPr="009E5F5F">
        <w:t xml:space="preserve">Nejenže existují náznaky zvýšené dostupnosti zavedených drog rostlinného původu, jako je kokain, ale jsme také svědky vývoje na trhu směrem k rostoucímu významu syntetických drog a výroby drog v Evropě. To se odráží v problémech spojených s užíváním vysoce potentních syntetických </w:t>
      </w:r>
      <w:proofErr w:type="spellStart"/>
      <w:r w:rsidR="00C219B6" w:rsidRPr="009E5F5F">
        <w:t>opioidů</w:t>
      </w:r>
      <w:proofErr w:type="spellEnd"/>
      <w:r w:rsidR="00C219B6" w:rsidRPr="009E5F5F">
        <w:t xml:space="preserve">, </w:t>
      </w:r>
      <w:r w:rsidR="00433A2E" w:rsidRPr="009E5F5F">
        <w:t xml:space="preserve">v </w:t>
      </w:r>
      <w:r w:rsidR="00C219B6" w:rsidRPr="009E5F5F">
        <w:t>nových způsobech výroby MDMA a amfetaminů a </w:t>
      </w:r>
      <w:r w:rsidR="00433A2E" w:rsidRPr="009E5F5F">
        <w:t xml:space="preserve">v </w:t>
      </w:r>
      <w:r w:rsidR="00C219B6" w:rsidRPr="009E5F5F">
        <w:t xml:space="preserve">aktuálních trendech </w:t>
      </w:r>
      <w:r w:rsidR="00433A2E" w:rsidRPr="009E5F5F">
        <w:t>ve</w:t>
      </w:r>
      <w:r w:rsidR="00C219B6" w:rsidRPr="009E5F5F">
        <w:t xml:space="preserve"> zpracování morfinu na heroin v Evropě.“</w:t>
      </w:r>
    </w:p>
    <w:p w:rsidR="00CC05D1" w:rsidRPr="009E5F5F" w:rsidRDefault="00CC05D1" w:rsidP="00CC05D1">
      <w:pPr>
        <w:rPr>
          <w:rFonts w:cs="Arial"/>
          <w:b/>
          <w:szCs w:val="20"/>
        </w:rPr>
      </w:pPr>
      <w:r w:rsidRPr="009E5F5F">
        <w:rPr>
          <w:b/>
          <w:szCs w:val="20"/>
        </w:rPr>
        <w:t>Kokain: rekordní počty záchytů, nové distribuční metody a známky množících se zdravotních problémů</w:t>
      </w:r>
    </w:p>
    <w:p w:rsidR="008F50A2" w:rsidRDefault="002E4FF1" w:rsidP="008F50A2">
      <w:pPr>
        <w:spacing w:after="260" w:line="260" w:lineRule="exact"/>
      </w:pPr>
      <w:r w:rsidRPr="009E5F5F">
        <w:t xml:space="preserve">Nejnovější data týkající se kokainu ukazují rekordní počty záchytů a množství zachyceného kokainu. Během roku 2017 bylo v EU hlášeno více než 104 000 záchytů kokainu (98 000 v roce 2016) v celkovém množství 140,4 tuny, což je přibližně dvojnásobek množství zachyceného v roce 2016 (70,9 </w:t>
      </w:r>
      <w:proofErr w:type="gramStart"/>
      <w:r w:rsidRPr="009E5F5F">
        <w:t>tuny) (obrázek</w:t>
      </w:r>
      <w:proofErr w:type="gramEnd"/>
      <w:r w:rsidRPr="009E5F5F">
        <w:t xml:space="preserve"> 1.6). Přestože je maloobchodní cena kokainu i nadále stabilní, jeho čistota při pouličním prodeji dosáhla v roce 2017 nejvyšší úrovně za posledních deset let (viz </w:t>
      </w:r>
      <w:proofErr w:type="spellStart"/>
      <w:r w:rsidRPr="009E5F5F">
        <w:t>infografika</w:t>
      </w:r>
      <w:proofErr w:type="spellEnd"/>
      <w:r w:rsidRPr="009E5F5F">
        <w:t xml:space="preserve"> na str. 26). Kokain se do Evropy dostává mnoha cestami a prostředky, obzvláště velkou výzvu však představuje nárůst obchodování s velkými objemy kokainu, při němž jsou využívány kontejnery pro námořní přepravu.</w:t>
      </w:r>
    </w:p>
    <w:p w:rsidR="00D47F57" w:rsidRDefault="00786F82" w:rsidP="00D47F57">
      <w:pPr>
        <w:spacing w:after="260" w:line="260" w:lineRule="exact"/>
      </w:pPr>
      <w:r w:rsidRPr="009E5F5F">
        <w:lastRenderedPageBreak/>
        <w:t xml:space="preserve">Existují důkazy o tom, že díky využívání sociálních médií, </w:t>
      </w:r>
      <w:proofErr w:type="spellStart"/>
      <w:r w:rsidRPr="009E5F5F">
        <w:t>darknetových</w:t>
      </w:r>
      <w:proofErr w:type="spellEnd"/>
      <w:r w:rsidRPr="009E5F5F">
        <w:t xml:space="preserve"> trhů a šifrovacích technik se do obchodování s drogami mohou v rostoucí míře zapojovat menší skupiny a jednotlivci. Podnikavost se na trhu s kokainem zřetelně projevuje v inovativních distribučních metodách. Jako příklad lze uvést existenci kokainových „call center“ s kurýry zajišťujícími rychlé a flexibilní doručování. Takové metody, které odrážejí potenciální „</w:t>
      </w:r>
      <w:proofErr w:type="spellStart"/>
      <w:r w:rsidRPr="009E5F5F">
        <w:t>uberizaci</w:t>
      </w:r>
      <w:proofErr w:type="spellEnd"/>
      <w:r w:rsidRPr="009E5F5F">
        <w:t>“ obchodu s kokainem (</w:t>
      </w:r>
      <w:r w:rsidRPr="009E5F5F">
        <w:rPr>
          <w:vertAlign w:val="superscript"/>
        </w:rPr>
        <w:t>2</w:t>
      </w:r>
      <w:r w:rsidRPr="009E5F5F">
        <w:t>), svědčí o konkurenčním prostředí na trhu, kde si prodejci konkurují nabídkou doplňkových služeb, které nemusí souviset s prodávaným produktem.</w:t>
      </w:r>
    </w:p>
    <w:p w:rsidR="00D47F57" w:rsidRDefault="00CC05D1" w:rsidP="00D47F57">
      <w:pPr>
        <w:spacing w:after="260" w:line="260" w:lineRule="exact"/>
      </w:pPr>
      <w:r w:rsidRPr="009E5F5F">
        <w:t>Kokain je nejběžněji užívanou nelegální stimulační drogou v EU – během posledního roku (odhad z roku 2017) jej užilo přibližně 2,6 milionu mladých lidí (ve věku 15–34 let). Nedávná studie o reziduích drog v komunálních odpadních vodách odhalila, že mezi lety 2017 a 2018 došlo ve 22 z 38 měst, která mají k dispozici data za toto období, k nárůstu obsahu metabolitů kokainu, což potvrzuje vzestupný trend zaznamenaný i v roce 2017. V roce 2018 bylo největší množství reziduí, uváděné ve standardizovaných hodnotách na 1 000 osob za den, zaznamenáno ve městech v </w:t>
      </w:r>
      <w:r w:rsidRPr="009E5F5F">
        <w:rPr>
          <w:b/>
          <w:szCs w:val="20"/>
        </w:rPr>
        <w:t>Belgii</w:t>
      </w:r>
      <w:r w:rsidRPr="009E5F5F">
        <w:t xml:space="preserve">, </w:t>
      </w:r>
      <w:r w:rsidR="00D47F57" w:rsidRPr="009E5F5F">
        <w:rPr>
          <w:b/>
          <w:szCs w:val="20"/>
        </w:rPr>
        <w:t>Španělsku</w:t>
      </w:r>
      <w:r w:rsidR="00D47F57">
        <w:rPr>
          <w:b/>
          <w:szCs w:val="20"/>
        </w:rPr>
        <w:t>,</w:t>
      </w:r>
      <w:r w:rsidR="00D47F57" w:rsidRPr="009E5F5F">
        <w:t xml:space="preserve"> </w:t>
      </w:r>
      <w:r w:rsidRPr="009E5F5F">
        <w:rPr>
          <w:b/>
          <w:szCs w:val="20"/>
        </w:rPr>
        <w:t>Nizozemsku</w:t>
      </w:r>
      <w:r w:rsidRPr="009E5F5F">
        <w:t xml:space="preserve"> a </w:t>
      </w:r>
      <w:r w:rsidRPr="009E5F5F">
        <w:rPr>
          <w:b/>
          <w:szCs w:val="20"/>
        </w:rPr>
        <w:t>Spojeném království</w:t>
      </w:r>
      <w:r w:rsidRPr="009E5F5F">
        <w:t xml:space="preserve">. V některých městech </w:t>
      </w:r>
      <w:r w:rsidRPr="009E5F5F">
        <w:rPr>
          <w:b/>
          <w:szCs w:val="20"/>
        </w:rPr>
        <w:t>východní Evropy</w:t>
      </w:r>
      <w:r w:rsidRPr="009E5F5F">
        <w:t xml:space="preserve"> ukazují data z nedávné doby nárůst těchto hodnot, přestože celkově zde množství reziduí zůstává na nízké úrovni (viz obrázek 2.4).</w:t>
      </w:r>
    </w:p>
    <w:p w:rsidR="00630D0B" w:rsidRPr="009E5F5F" w:rsidRDefault="00752941" w:rsidP="00D47F57">
      <w:pPr>
        <w:spacing w:after="260" w:line="260" w:lineRule="exact"/>
        <w:rPr>
          <w:rFonts w:cs="Arial"/>
          <w:szCs w:val="20"/>
        </w:rPr>
      </w:pPr>
      <w:r w:rsidRPr="009E5F5F">
        <w:t xml:space="preserve">Objevují se náznaky, že nárůst nabídky kokainu souvisí s větším počtem hlášených zdravotních problémů. </w:t>
      </w:r>
      <w:r w:rsidR="00D47F57">
        <w:br/>
      </w:r>
      <w:r w:rsidRPr="009E5F5F">
        <w:t xml:space="preserve">Z posledních odhadů vyplývá, že v současnosti podstupuje specializovanou léčbu drogové závislosti v důsledku problémů spojených s užíváním kokainu přibližně 73 000 klientů. Zvláštní pozornost je věnována 11 000 z nich, kteří nastoupili léčbu z důvodu problémů souvisejících s užíváním tzv. </w:t>
      </w:r>
      <w:proofErr w:type="spellStart"/>
      <w:r w:rsidRPr="009E5F5F">
        <w:t>cracku</w:t>
      </w:r>
      <w:proofErr w:type="spellEnd"/>
      <w:r w:rsidRPr="009E5F5F">
        <w:t xml:space="preserve">, což je obzvláště škodlivý způsob konzumace kokainu. Počet „nových“ klientů, kteří se ze závislosti na kokainu léčili poprvé, vzrostl v letech 2014 až 2017 o 37 %, což naznačuje, že potřeba léčby roste. Kokain také figuroval jako nejčastěji uváděná nelegální droga v záznamech o příjmech pacientů na pohotovostních nemocničních odděleních z důvodů souvisejících s drogami, které byly pořízeny během roku 2017 ve 26 monitorovaných nemocnicích v 18 evropských zemích (Euro-DEN </w:t>
      </w:r>
      <w:proofErr w:type="gramStart"/>
      <w:r w:rsidRPr="009E5F5F">
        <w:t>Plus) (obrázek</w:t>
      </w:r>
      <w:proofErr w:type="gramEnd"/>
      <w:r w:rsidRPr="009E5F5F">
        <w:t xml:space="preserve"> 3.8).</w:t>
      </w:r>
    </w:p>
    <w:p w:rsidR="003E49E6" w:rsidRPr="009E5F5F" w:rsidRDefault="003E49E6" w:rsidP="00FA3EE7">
      <w:pPr>
        <w:rPr>
          <w:rFonts w:cs="Arial"/>
          <w:b/>
          <w:szCs w:val="20"/>
        </w:rPr>
      </w:pPr>
      <w:bookmarkStart w:id="1" w:name="_Toc509285"/>
      <w:r w:rsidRPr="009E5F5F">
        <w:rPr>
          <w:b/>
          <w:szCs w:val="20"/>
        </w:rPr>
        <w:t>Heroin: náznaky změn na trhu</w:t>
      </w:r>
    </w:p>
    <w:p w:rsidR="0069299A" w:rsidRDefault="006A1B4E" w:rsidP="0069299A">
      <w:pPr>
        <w:spacing w:after="260" w:line="260" w:lineRule="exact"/>
      </w:pPr>
      <w:r w:rsidRPr="009E5F5F">
        <w:t xml:space="preserve">Heroin je stále nejčastějším nelegálním </w:t>
      </w:r>
      <w:proofErr w:type="spellStart"/>
      <w:r w:rsidRPr="009E5F5F">
        <w:t>opioidem</w:t>
      </w:r>
      <w:proofErr w:type="spellEnd"/>
      <w:r w:rsidRPr="009E5F5F">
        <w:t xml:space="preserve"> na trhu s drogami v Evropě a výrazně přispívá k nákladům na zdravotní a sociální péči související s užíváním drog. Množství heroinu zachyceného v EU se v roce 2017 zvýšilo o více než tunu na 5,4 tuny, přičemž dalších 17,4 tuny bylo zachyceno v Turecku (část z tohoto množství byla zřejmě určena pro trh EU). Znepokojivý vývoj představuje 81 tun acetanhydridu (chemický prekurzor heroinu) zachyceného v EU v roce 2017 a 243 tun téže látky v přerušených zásilkách (tabulka 1.2). Kromě toho byly v posledních letech v některých zemích EU (</w:t>
      </w:r>
      <w:r w:rsidRPr="009E5F5F">
        <w:rPr>
          <w:b/>
          <w:szCs w:val="20"/>
        </w:rPr>
        <w:t>Bulharsko, Česká republika, Španělsko a Nizozemsko</w:t>
      </w:r>
      <w:r w:rsidRPr="009E5F5F">
        <w:t xml:space="preserve">) </w:t>
      </w:r>
      <w:r w:rsidR="0072582E" w:rsidRPr="009E5F5F">
        <w:t xml:space="preserve">odhaleny </w:t>
      </w:r>
      <w:r w:rsidRPr="009E5F5F">
        <w:t xml:space="preserve">laboratoře vyrábějící heroin z morfinu s pomocí uvedeného prekurzoru. </w:t>
      </w:r>
      <w:r w:rsidR="0023735B">
        <w:br/>
      </w:r>
      <w:r w:rsidRPr="009E5F5F">
        <w:t xml:space="preserve">Čistota heroinu zůstává vysoká a maloobchodní cena poměrně nízká (během posledního desetiletí </w:t>
      </w:r>
      <w:proofErr w:type="gramStart"/>
      <w:r w:rsidRPr="009E5F5F">
        <w:t>klesla) (</w:t>
      </w:r>
      <w:proofErr w:type="spellStart"/>
      <w:r w:rsidRPr="009E5F5F">
        <w:t>infografika</w:t>
      </w:r>
      <w:proofErr w:type="spellEnd"/>
      <w:proofErr w:type="gramEnd"/>
      <w:r w:rsidRPr="009E5F5F">
        <w:t xml:space="preserve"> na str. 24).</w:t>
      </w:r>
    </w:p>
    <w:p w:rsidR="003F1EF2" w:rsidRPr="009E5F5F" w:rsidRDefault="00D76273" w:rsidP="0069299A">
      <w:pPr>
        <w:spacing w:after="260" w:line="260" w:lineRule="exact"/>
        <w:rPr>
          <w:rFonts w:cs="Arial"/>
          <w:szCs w:val="20"/>
        </w:rPr>
      </w:pPr>
      <w:r w:rsidRPr="009E5F5F">
        <w:t xml:space="preserve">Evropa usiluje o vymýcení virové hepatitidy jako nebezpečí pro veřejné zdraví v souladu s celosvětovou </w:t>
      </w:r>
      <w:r w:rsidRPr="009E5F5F">
        <w:rPr>
          <w:b/>
          <w:szCs w:val="20"/>
        </w:rPr>
        <w:t>Agendou pro udržitelný rozvoj 2030</w:t>
      </w:r>
      <w:r w:rsidRPr="009E5F5F">
        <w:t xml:space="preserve">. Pro dosažení tohoto cíle je zásadní zajistit injekčním uživatelům heroinu či jiných drog lepší přístup k prevenci, testování a léčbě infekce virem hepatitidy B a C, neboť </w:t>
      </w:r>
      <w:r w:rsidR="00884A13" w:rsidRPr="009E5F5F">
        <w:t xml:space="preserve">jde </w:t>
      </w:r>
      <w:r w:rsidRPr="009E5F5F">
        <w:t xml:space="preserve">o osoby s nejvyšším zatížením těmito chorobami a s nejvyšším rizikem jejich přenosu. Zpráva </w:t>
      </w:r>
      <w:r w:rsidRPr="009E5F5F">
        <w:rPr>
          <w:b/>
          <w:szCs w:val="20"/>
        </w:rPr>
        <w:t>EMCDDA</w:t>
      </w:r>
      <w:r w:rsidRPr="009E5F5F">
        <w:t xml:space="preserve"> poukazuje na potřebu zesílit opatření pro boj s virovou hepatitidou, zejména v některých částech </w:t>
      </w:r>
      <w:r w:rsidRPr="009E5F5F">
        <w:rPr>
          <w:b/>
          <w:szCs w:val="20"/>
        </w:rPr>
        <w:t>východní Evropy</w:t>
      </w:r>
      <w:r w:rsidRPr="009E5F5F">
        <w:t>.</w:t>
      </w:r>
    </w:p>
    <w:p w:rsidR="00FA3EE7" w:rsidRPr="009E5F5F" w:rsidRDefault="00FA3EE7" w:rsidP="00FA3EE7">
      <w:pPr>
        <w:rPr>
          <w:rFonts w:cs="Arial"/>
          <w:szCs w:val="20"/>
        </w:rPr>
      </w:pPr>
      <w:r w:rsidRPr="009E5F5F">
        <w:rPr>
          <w:b/>
          <w:szCs w:val="20"/>
        </w:rPr>
        <w:t xml:space="preserve">Nové syntetické </w:t>
      </w:r>
      <w:proofErr w:type="spellStart"/>
      <w:r w:rsidRPr="009E5F5F">
        <w:rPr>
          <w:b/>
          <w:szCs w:val="20"/>
        </w:rPr>
        <w:t>opioidy</w:t>
      </w:r>
      <w:proofErr w:type="spellEnd"/>
      <w:r w:rsidRPr="009E5F5F">
        <w:rPr>
          <w:b/>
          <w:szCs w:val="20"/>
        </w:rPr>
        <w:t>: zdroj rostoucích obav</w:t>
      </w:r>
    </w:p>
    <w:p w:rsidR="0069299A" w:rsidRDefault="00FA3EE7" w:rsidP="0069299A">
      <w:pPr>
        <w:spacing w:after="260" w:line="260" w:lineRule="exact"/>
      </w:pPr>
      <w:r w:rsidRPr="009E5F5F">
        <w:t xml:space="preserve">Současná epidemie </w:t>
      </w:r>
      <w:proofErr w:type="spellStart"/>
      <w:r w:rsidRPr="009E5F5F">
        <w:t>opioidů</w:t>
      </w:r>
      <w:proofErr w:type="spellEnd"/>
      <w:r w:rsidRPr="009E5F5F">
        <w:t xml:space="preserve"> ve </w:t>
      </w:r>
      <w:r w:rsidRPr="009E5F5F">
        <w:rPr>
          <w:b/>
          <w:szCs w:val="20"/>
        </w:rPr>
        <w:t>Spojených státech</w:t>
      </w:r>
      <w:r w:rsidRPr="009E5F5F">
        <w:t xml:space="preserve"> a v </w:t>
      </w:r>
      <w:r w:rsidRPr="009E5F5F">
        <w:rPr>
          <w:b/>
          <w:szCs w:val="20"/>
        </w:rPr>
        <w:t>Kanadě</w:t>
      </w:r>
      <w:r w:rsidRPr="009E5F5F">
        <w:t xml:space="preserve"> je z velké části důsledkem užívání syntetických </w:t>
      </w:r>
      <w:proofErr w:type="spellStart"/>
      <w:r w:rsidRPr="009E5F5F">
        <w:t>opioidů</w:t>
      </w:r>
      <w:proofErr w:type="spellEnd"/>
      <w:r w:rsidRPr="009E5F5F">
        <w:t xml:space="preserve">, zejména </w:t>
      </w:r>
      <w:proofErr w:type="spellStart"/>
      <w:r w:rsidRPr="009E5F5F">
        <w:t>fentanylu</w:t>
      </w:r>
      <w:proofErr w:type="spellEnd"/>
      <w:r w:rsidRPr="009E5F5F">
        <w:t xml:space="preserve"> a jeho derivátů. Na trhu s drogami v </w:t>
      </w:r>
      <w:r w:rsidRPr="009E5F5F">
        <w:rPr>
          <w:b/>
          <w:szCs w:val="20"/>
        </w:rPr>
        <w:t>Evropě</w:t>
      </w:r>
      <w:r w:rsidRPr="009E5F5F">
        <w:t xml:space="preserve"> představují tyto látky v současnosti jen malý podíl, jsou však zdrojem rostoucích obav kvůli otravám a úmrtím spojeným s jejich užíváním. V Evropě bylo během roku 2018 zaznamenáno jedenáct nových syntetických </w:t>
      </w:r>
      <w:proofErr w:type="spellStart"/>
      <w:r w:rsidRPr="009E5F5F">
        <w:t>opioidů</w:t>
      </w:r>
      <w:proofErr w:type="spellEnd"/>
      <w:r w:rsidRPr="009E5F5F">
        <w:t>, obvykle v podobě prášku nebo tablet či v kapalné formě. Protože k výrobě mnoha tisíců dávek pro pouliční prodej stačí jen velmi malý objem těchto látek, lze je snadno ukrýt a přepravovat, což pro policejní a celní orgány představuje problém.</w:t>
      </w:r>
    </w:p>
    <w:p w:rsidR="0069299A" w:rsidRDefault="004F48CE" w:rsidP="0069299A">
      <w:pPr>
        <w:spacing w:after="260" w:line="260" w:lineRule="exact"/>
      </w:pPr>
      <w:r w:rsidRPr="009E5F5F">
        <w:t xml:space="preserve">Deriváty </w:t>
      </w:r>
      <w:proofErr w:type="spellStart"/>
      <w:r w:rsidRPr="009E5F5F">
        <w:t>fentanylu</w:t>
      </w:r>
      <w:proofErr w:type="spellEnd"/>
      <w:r w:rsidRPr="009E5F5F">
        <w:t xml:space="preserve"> tvoří většinu ze 49 nových syntetických </w:t>
      </w:r>
      <w:proofErr w:type="spellStart"/>
      <w:r w:rsidRPr="009E5F5F">
        <w:t>opioidů</w:t>
      </w:r>
      <w:proofErr w:type="spellEnd"/>
      <w:r w:rsidRPr="009E5F5F">
        <w:t xml:space="preserve">, které </w:t>
      </w:r>
      <w:r w:rsidRPr="009E5F5F">
        <w:rPr>
          <w:b/>
          <w:szCs w:val="20"/>
        </w:rPr>
        <w:t>EMCDDA</w:t>
      </w:r>
      <w:r w:rsidRPr="009E5F5F">
        <w:t xml:space="preserve"> monitoruje. Během roku 2018 bylo v Evropě poprvé zaznamenáno šest nových derivátů </w:t>
      </w:r>
      <w:proofErr w:type="spellStart"/>
      <w:r w:rsidRPr="009E5F5F">
        <w:t>fentanylu</w:t>
      </w:r>
      <w:proofErr w:type="spellEnd"/>
      <w:r w:rsidRPr="009E5F5F">
        <w:t xml:space="preserve"> (od roku 2009 jich bylo odhaleno </w:t>
      </w:r>
      <w:r w:rsidRPr="009E5F5F">
        <w:lastRenderedPageBreak/>
        <w:t xml:space="preserve">celkem 34). V nejnovějších datech představovaly tyto vysoce potentní drogy 70 % všech případů záchytu nových syntetických </w:t>
      </w:r>
      <w:proofErr w:type="spellStart"/>
      <w:r w:rsidRPr="009E5F5F">
        <w:t>opioidů</w:t>
      </w:r>
      <w:proofErr w:type="spellEnd"/>
      <w:r w:rsidRPr="009E5F5F">
        <w:t xml:space="preserve"> (obrázek 1.12). Nahlášeno bylo více než 300 záchytů </w:t>
      </w:r>
      <w:proofErr w:type="spellStart"/>
      <w:r w:rsidRPr="009E5F5F">
        <w:t>karfentanilu</w:t>
      </w:r>
      <w:proofErr w:type="spellEnd"/>
      <w:r w:rsidRPr="009E5F5F">
        <w:t xml:space="preserve">, který v této skupině drog patří k těm nejsilnějším. Kromě toho bylo v EU zachyceno rovněž celkem 4,5 kg chemického prekurzoru pro výrobu derivátů </w:t>
      </w:r>
      <w:proofErr w:type="spellStart"/>
      <w:r w:rsidRPr="009E5F5F">
        <w:t>fentanylu</w:t>
      </w:r>
      <w:proofErr w:type="spellEnd"/>
      <w:r w:rsidRPr="009E5F5F">
        <w:t xml:space="preserve"> (</w:t>
      </w:r>
      <w:proofErr w:type="gramStart"/>
      <w:r w:rsidRPr="009E5F5F">
        <w:rPr>
          <w:i/>
          <w:szCs w:val="20"/>
        </w:rPr>
        <w:t>N</w:t>
      </w:r>
      <w:r w:rsidRPr="009E5F5F">
        <w:t>-fenethyl-4-piperidon) (tabulka</w:t>
      </w:r>
      <w:proofErr w:type="gramEnd"/>
      <w:r w:rsidRPr="009E5F5F">
        <w:t xml:space="preserve"> 1.2).</w:t>
      </w:r>
    </w:p>
    <w:p w:rsidR="00FA3EE7" w:rsidRPr="009E5F5F" w:rsidRDefault="001C218B" w:rsidP="0069299A">
      <w:pPr>
        <w:spacing w:after="260" w:line="260" w:lineRule="exact"/>
        <w:rPr>
          <w:rFonts w:cs="Arial"/>
          <w:szCs w:val="20"/>
        </w:rPr>
      </w:pPr>
      <w:r w:rsidRPr="009E5F5F">
        <w:t>Z dat z monitoringu léčby drogové závislosti vyplývá, že každý pátý klient (22 %), který nastoupí léčbu drogové závislosti v souvislosti s </w:t>
      </w:r>
      <w:proofErr w:type="spellStart"/>
      <w:r w:rsidRPr="009E5F5F">
        <w:t>opioidy</w:t>
      </w:r>
      <w:proofErr w:type="spellEnd"/>
      <w:r w:rsidRPr="009E5F5F">
        <w:t xml:space="preserve">, nyní jako hlavní problémovou drogu udává legální či nelegální syntetický </w:t>
      </w:r>
      <w:proofErr w:type="spellStart"/>
      <w:r w:rsidRPr="009E5F5F">
        <w:t>opioid</w:t>
      </w:r>
      <w:proofErr w:type="spellEnd"/>
      <w:r w:rsidRPr="009E5F5F">
        <w:t xml:space="preserve"> spíše než heroin (obrázek 2.13). To naznačuje, že léčivé přípravky obsahující </w:t>
      </w:r>
      <w:proofErr w:type="spellStart"/>
      <w:r w:rsidRPr="009E5F5F">
        <w:t>opioidy</w:t>
      </w:r>
      <w:proofErr w:type="spellEnd"/>
      <w:r w:rsidRPr="009E5F5F">
        <w:t xml:space="preserve"> nyní hrají v evropské drogové problematice stále významnější úlohu.</w:t>
      </w:r>
    </w:p>
    <w:p w:rsidR="00200CFE" w:rsidRPr="009E5F5F" w:rsidRDefault="00971783" w:rsidP="00A21D3D">
      <w:pPr>
        <w:rPr>
          <w:rFonts w:cs="Arial"/>
          <w:szCs w:val="20"/>
        </w:rPr>
      </w:pPr>
      <w:r w:rsidRPr="009E5F5F">
        <w:rPr>
          <w:b/>
          <w:szCs w:val="20"/>
        </w:rPr>
        <w:t>Konopí: nový vývoj u nejzavedenější drogy v Evropě</w:t>
      </w:r>
    </w:p>
    <w:p w:rsidR="0069299A" w:rsidRDefault="00A21D3D" w:rsidP="0069299A">
      <w:pPr>
        <w:spacing w:after="260" w:line="260" w:lineRule="exact"/>
      </w:pPr>
      <w:r w:rsidRPr="009E5F5F">
        <w:t xml:space="preserve">Konopí zůstává nejběžněji užívanou nelegální drogou v Evropě, což se promítá i do dat ohledně prevalence, záchytů a nových žádostí o léčbu. Odhaduje se, že v loňském roce užilo konopí přibližně 17,5 milionu mladých Evropanů (ve věku 15–34 </w:t>
      </w:r>
      <w:proofErr w:type="gramStart"/>
      <w:r w:rsidRPr="009E5F5F">
        <w:t>let) (EU-28</w:t>
      </w:r>
      <w:proofErr w:type="gramEnd"/>
      <w:r w:rsidRPr="009E5F5F">
        <w:t>)</w:t>
      </w:r>
      <w:r w:rsidR="006E7CA7" w:rsidRPr="009E5F5F">
        <w:t xml:space="preserve"> </w:t>
      </w:r>
      <w:r w:rsidR="006E7CA7" w:rsidRPr="0069299A">
        <w:t>(odhad z roku 2017)</w:t>
      </w:r>
      <w:r w:rsidR="0069299A" w:rsidRPr="0069299A">
        <w:t>.</w:t>
      </w:r>
    </w:p>
    <w:p w:rsidR="0069299A" w:rsidRDefault="00A21D3D" w:rsidP="0069299A">
      <w:pPr>
        <w:spacing w:after="260" w:line="260" w:lineRule="exact"/>
      </w:pPr>
      <w:r w:rsidRPr="009E5F5F">
        <w:t xml:space="preserve">V roce 2017 nahlásily členské státy EU 782 000 případů záchytu konopných produktů (marihuany, hašiše, rostlin konopí a konopného oleje), což z konopí činí nejčastěji zachycenou drogu v Evropě. Množství zachyceného hašiše je více než dvakrát vyšší než množství zachycené marihuany (466 tun oproti 209 tunám). Z nedávné studie </w:t>
      </w:r>
      <w:r w:rsidRPr="009E5F5F">
        <w:rPr>
          <w:b/>
          <w:szCs w:val="20"/>
        </w:rPr>
        <w:t>EMCDDA</w:t>
      </w:r>
      <w:r w:rsidRPr="009E5F5F">
        <w:t> (</w:t>
      </w:r>
      <w:r w:rsidRPr="009E5F5F">
        <w:rPr>
          <w:szCs w:val="20"/>
          <w:vertAlign w:val="superscript"/>
        </w:rPr>
        <w:t>3</w:t>
      </w:r>
      <w:r w:rsidRPr="009E5F5F">
        <w:t xml:space="preserve">) vyplynulo, že v marihuaně a hašiši se za poslední desetiletí zdvojnásobil obvyklý obsah </w:t>
      </w:r>
      <w:proofErr w:type="spellStart"/>
      <w:r w:rsidRPr="009E5F5F">
        <w:t>tetrahydrokanabinolu</w:t>
      </w:r>
      <w:proofErr w:type="spellEnd"/>
      <w:r w:rsidRPr="009E5F5F">
        <w:t xml:space="preserve"> (</w:t>
      </w:r>
      <w:proofErr w:type="gramStart"/>
      <w:r w:rsidRPr="009E5F5F">
        <w:t>THC) (</w:t>
      </w:r>
      <w:r w:rsidRPr="009E5F5F">
        <w:rPr>
          <w:szCs w:val="20"/>
          <w:vertAlign w:val="superscript"/>
        </w:rPr>
        <w:t>4</w:t>
      </w:r>
      <w:r w:rsidRPr="009E5F5F">
        <w:t>), což</w:t>
      </w:r>
      <w:proofErr w:type="gramEnd"/>
      <w:r w:rsidRPr="009E5F5F">
        <w:t xml:space="preserve"> vyvolává obavy z potenciálních škodlivých účinků. V případě hašiše mezi faktory zvyšující průměrnou potenci pravděpodobně patří zavedení vysoce potentních rostlin a nových výrobních technik v </w:t>
      </w:r>
      <w:r w:rsidRPr="009E5F5F">
        <w:rPr>
          <w:b/>
          <w:szCs w:val="20"/>
        </w:rPr>
        <w:t>Maroku</w:t>
      </w:r>
      <w:r w:rsidRPr="009E5F5F">
        <w:t>, které je hlavním producentem hašiše pro trh EU.</w:t>
      </w:r>
    </w:p>
    <w:p w:rsidR="00971783" w:rsidRPr="009E5F5F" w:rsidRDefault="00971783" w:rsidP="0069299A">
      <w:pPr>
        <w:spacing w:after="260" w:line="260" w:lineRule="exact"/>
      </w:pPr>
      <w:r w:rsidRPr="009E5F5F">
        <w:t>Odhaduje se, že mezi každodenní či téměř každodenní uživatele konopí patří přibližně 1 % dospělých (ve věku 15–64 let) v EU.</w:t>
      </w:r>
      <w:r w:rsidR="006E7CA7" w:rsidRPr="009E5F5F">
        <w:t xml:space="preserve"> </w:t>
      </w:r>
      <w:r w:rsidR="00A21D3D" w:rsidRPr="009E5F5F">
        <w:t xml:space="preserve">V roce 2017 v Evropě nastoupilo léčbu drogové závislosti v souvislosti s užíváním této drogy přibližně 155 000 osob, z čehož asi 83 000 o ni požádalo poprvé (viz </w:t>
      </w:r>
      <w:proofErr w:type="spellStart"/>
      <w:r w:rsidR="00A21D3D" w:rsidRPr="009E5F5F">
        <w:t>infografika</w:t>
      </w:r>
      <w:proofErr w:type="spellEnd"/>
      <w:r w:rsidR="00A21D3D" w:rsidRPr="009E5F5F">
        <w:t xml:space="preserve"> na str. 44). U osob nově nastupujících specializovanou léčbu drogové závislosti je nyní konopí nejčastěji uváděnou látkou, která představuje jejich hlavní důvod, proč se obrátili na poskytovatele léčebných služeb.</w:t>
      </w:r>
    </w:p>
    <w:p w:rsidR="00A21D3D" w:rsidRPr="009E5F5F" w:rsidRDefault="00B527A0" w:rsidP="00A21D3D">
      <w:pPr>
        <w:rPr>
          <w:b/>
          <w:szCs w:val="20"/>
        </w:rPr>
      </w:pPr>
      <w:r w:rsidRPr="009E5F5F">
        <w:rPr>
          <w:b/>
          <w:szCs w:val="20"/>
        </w:rPr>
        <w:t>Konopí: nové produkty jako zdroj dalších výzev ve složité oblasti protidrogové politiky</w:t>
      </w:r>
    </w:p>
    <w:p w:rsidR="0069299A" w:rsidRDefault="00A21D3D" w:rsidP="0069299A">
      <w:pPr>
        <w:spacing w:after="260" w:line="260" w:lineRule="exact"/>
      </w:pPr>
      <w:r w:rsidRPr="009E5F5F">
        <w:t xml:space="preserve">Vytvoření legálních trhů s rekreačním konopím mimo EU je hybnou silou inovací v oblasti vývoje nových produktů (jako jsou roztoky do elektronických cigaret, </w:t>
      </w:r>
      <w:r w:rsidR="00266CC5" w:rsidRPr="009E5F5F">
        <w:t xml:space="preserve">potravinové </w:t>
      </w:r>
      <w:r w:rsidRPr="009E5F5F">
        <w:t>produkty a koncentráty). Některé z nich se nyní objevují na evropském trhu a představují novou výzvu pro odhalování a kontrolu drog.</w:t>
      </w:r>
    </w:p>
    <w:p w:rsidR="00F5245D" w:rsidRPr="009E5F5F" w:rsidRDefault="001456D7" w:rsidP="0069299A">
      <w:pPr>
        <w:spacing w:after="260" w:line="260" w:lineRule="exact"/>
        <w:rPr>
          <w:rFonts w:cs="Arial"/>
          <w:szCs w:val="20"/>
        </w:rPr>
      </w:pPr>
      <w:r w:rsidRPr="009E5F5F">
        <w:t xml:space="preserve">Konopí obsahuje řadu různých chemických látek, z nichž nejznámější jsou </w:t>
      </w:r>
      <w:proofErr w:type="spellStart"/>
      <w:r w:rsidRPr="009E5F5F">
        <w:t>tetrahydrokanabinol</w:t>
      </w:r>
      <w:proofErr w:type="spellEnd"/>
      <w:r w:rsidRPr="009E5F5F">
        <w:t xml:space="preserve"> (THC) a </w:t>
      </w:r>
      <w:proofErr w:type="spellStart"/>
      <w:r w:rsidRPr="009E5F5F">
        <w:t>kanabidiol</w:t>
      </w:r>
      <w:proofErr w:type="spellEnd"/>
      <w:r w:rsidRPr="009E5F5F">
        <w:t xml:space="preserve"> (CBD). Mezi příklady rychlého vývoje na trhu s konopím patří výskyt produktů s nízkým obsahem THC, které se v některých zemích EU prodávají ve specializovaných prodejnách nebo v obchodech se zdravou výživou (</w:t>
      </w:r>
      <w:r w:rsidRPr="009E5F5F">
        <w:rPr>
          <w:szCs w:val="20"/>
          <w:vertAlign w:val="superscript"/>
        </w:rPr>
        <w:t>5</w:t>
      </w:r>
      <w:r w:rsidRPr="009E5F5F">
        <w:t xml:space="preserve">). Prodej probíhá na základě tvrzení, že tyto produkty obsahují méně než 0,2 nebo 0,3 % THC, a proto mají jen malé nebo žádné intoxikační účinky a nespadají do oblasti působnosti stávajících právních předpisů pro kontrolu drog. Někdy je u těchto produktů poukazováno na obsah </w:t>
      </w:r>
      <w:proofErr w:type="spellStart"/>
      <w:r w:rsidRPr="009E5F5F">
        <w:t>kanabidiolu</w:t>
      </w:r>
      <w:proofErr w:type="spellEnd"/>
      <w:r w:rsidRPr="009E5F5F">
        <w:t xml:space="preserve"> v souvislosti s tvrzením, že tato látka může mít příznivé účinky. K dispozici je nyní řada produktů zahrnující rostliny, směsi určené ke kouření, pilulky, pleťové vody a krémy. Tento vývoj vyvolává otázky ohledně regulace, protože některé země uvalují na prodej produktů s nízkým obsahem THC trestní sankce a jiné </w:t>
      </w:r>
      <w:r w:rsidR="0069299A">
        <w:br/>
      </w:r>
      <w:r w:rsidR="00266CC5" w:rsidRPr="009E5F5F">
        <w:t xml:space="preserve">s nimi </w:t>
      </w:r>
      <w:r w:rsidRPr="009E5F5F">
        <w:t>umožňují obchodovat bez povolení.</w:t>
      </w:r>
    </w:p>
    <w:p w:rsidR="001E10CF" w:rsidRPr="009E5F5F" w:rsidRDefault="001E10CF" w:rsidP="001E10CF">
      <w:pPr>
        <w:rPr>
          <w:rFonts w:cs="Arial"/>
          <w:b/>
          <w:szCs w:val="20"/>
        </w:rPr>
      </w:pPr>
      <w:r w:rsidRPr="009E5F5F">
        <w:rPr>
          <w:b/>
          <w:szCs w:val="20"/>
        </w:rPr>
        <w:t>Rostoucí význam Evropy v oblasti výroby syntetických drog</w:t>
      </w:r>
    </w:p>
    <w:p w:rsidR="00142AC5" w:rsidRDefault="00636199" w:rsidP="0069299A">
      <w:pPr>
        <w:spacing w:after="260" w:line="260" w:lineRule="exact"/>
      </w:pPr>
      <w:r w:rsidRPr="009E5F5F">
        <w:t xml:space="preserve">Zpráva uvádí, že výroba syntetických drog v Evropě zřejmě „roste, diverzifikuje se a stává se inovativnější“. K získávání chemických látek potřebných k výrobě syntetických drog se využívají nové látky. Tyto postupy mají za cíl zabránit odhalení, vyžadují </w:t>
      </w:r>
      <w:r w:rsidR="00C31F45" w:rsidRPr="009E5F5F">
        <w:t xml:space="preserve">však </w:t>
      </w:r>
      <w:r w:rsidRPr="009E5F5F">
        <w:t>také komplexnější zpracování, při kterém může vznikat více nebezpečného odpadu. To se projevuje ve zvýšení počtu záchytů alternativních chemických prekurzorů pro výrobu MDMA, amfetaminu a metamfetaminu. Podle nejnovějších dat (tabulka 1.2) přibývá záchytů jak α-</w:t>
      </w:r>
      <w:proofErr w:type="spellStart"/>
      <w:r w:rsidRPr="009E5F5F">
        <w:t>fenylacetoacetamidu</w:t>
      </w:r>
      <w:proofErr w:type="spellEnd"/>
      <w:r w:rsidRPr="009E5F5F">
        <w:t xml:space="preserve"> (APAA), tak glycidových derivátů </w:t>
      </w:r>
      <w:proofErr w:type="spellStart"/>
      <w:r w:rsidRPr="009E5F5F">
        <w:t>piperonylmethylketonu</w:t>
      </w:r>
      <w:proofErr w:type="spellEnd"/>
      <w:r w:rsidRPr="009E5F5F">
        <w:t xml:space="preserve"> (PMK).</w:t>
      </w:r>
    </w:p>
    <w:p w:rsidR="00142AC5" w:rsidRDefault="00636199" w:rsidP="00142AC5">
      <w:pPr>
        <w:spacing w:after="260" w:line="260" w:lineRule="exact"/>
      </w:pPr>
      <w:r w:rsidRPr="009E5F5F">
        <w:lastRenderedPageBreak/>
        <w:t>V roce 2017 bylo v EU zlikvidováno 21 laboratoří na výrobu MDMA (oproti 11 laboratořím v roce 2016), přičemž všechny se nacházely v </w:t>
      </w:r>
      <w:r w:rsidRPr="009E5F5F">
        <w:rPr>
          <w:b/>
          <w:szCs w:val="20"/>
        </w:rPr>
        <w:t>Nizozemsku</w:t>
      </w:r>
      <w:r w:rsidRPr="009E5F5F">
        <w:t>. V </w:t>
      </w:r>
      <w:r w:rsidRPr="009E5F5F">
        <w:rPr>
          <w:b/>
          <w:szCs w:val="20"/>
        </w:rPr>
        <w:t>Belgii</w:t>
      </w:r>
      <w:r w:rsidRPr="009E5F5F">
        <w:t xml:space="preserve"> bylo hlášeno zbavování se chemického odpadu, což naznačuje, že zde zřejmě docházelo k výrobě MDMA. Z nejnovějších dat vyplývá, že obsah MDMA v tabletách „extáze“ dosáhl v roce 2017 nejvyšší hodnoty za posledních 10 let. Podle odhadu </w:t>
      </w:r>
      <w:r w:rsidRPr="009E5F5F">
        <w:rPr>
          <w:b/>
          <w:szCs w:val="20"/>
        </w:rPr>
        <w:t>EMCDDA</w:t>
      </w:r>
      <w:r w:rsidRPr="009E5F5F">
        <w:t xml:space="preserve"> bylo během roku 2017 v EU zachyceno 6,6 milionu tablet MDMA, což je nejvíce od roku 2007. Z monitorování informací z otevřených zdrojů a aktivit na </w:t>
      </w:r>
      <w:proofErr w:type="spellStart"/>
      <w:r w:rsidRPr="009E5F5F">
        <w:t>darknetu</w:t>
      </w:r>
      <w:proofErr w:type="spellEnd"/>
      <w:r w:rsidRPr="009E5F5F">
        <w:t xml:space="preserve"> vyplývá, že Evropa hraje v celosvětové nabídce MDMA důležitou roli. Nasvědčují tomu i záchyty v zemích sousedících s EU. </w:t>
      </w:r>
      <w:r w:rsidRPr="009E5F5F">
        <w:rPr>
          <w:b/>
          <w:szCs w:val="20"/>
        </w:rPr>
        <w:t>Turecko</w:t>
      </w:r>
      <w:r w:rsidRPr="009E5F5F">
        <w:t xml:space="preserve"> zachytilo v roce 2017 více tablet MDMA (8,6 milionu) a větší množství amfetaminu (6,6 tuny) než všechny členské státy EU dohromady za stejné období. Kromě toho zachytilo i mimořádně velké množství metamfetaminu (658 kg), které se téměř rovná celkovému množství zachycenému v EU (662 kg).</w:t>
      </w:r>
    </w:p>
    <w:p w:rsidR="003F0B5B" w:rsidRPr="009E5F5F" w:rsidRDefault="00636199" w:rsidP="00142AC5">
      <w:pPr>
        <w:spacing w:after="260" w:line="260" w:lineRule="exact"/>
        <w:rPr>
          <w:rFonts w:cs="Arial"/>
        </w:rPr>
      </w:pPr>
      <w:r w:rsidRPr="009E5F5F">
        <w:t>Na území EU bylo v roce 2017 zachyceno 0,7 tuny metamfetaminu a 6,4 tuny metamfetaminu, přičemž čistota obou látek je vyšší než před deseti lety. Výroba metamfetaminu se soustředí v </w:t>
      </w:r>
      <w:r w:rsidRPr="009E5F5F">
        <w:rPr>
          <w:b/>
          <w:szCs w:val="20"/>
        </w:rPr>
        <w:t>České republice</w:t>
      </w:r>
      <w:r w:rsidRPr="009E5F5F">
        <w:t xml:space="preserve"> a v příhraničních oblastech sousedních zemí, část výroby probíhá také v </w:t>
      </w:r>
      <w:r w:rsidRPr="009E5F5F">
        <w:rPr>
          <w:b/>
          <w:szCs w:val="20"/>
        </w:rPr>
        <w:t>Nizozemsku</w:t>
      </w:r>
      <w:r w:rsidRPr="009E5F5F">
        <w:t>. Data z analýzy odpadních vod a další data naznačují, že k užívání metamfetaminu, které je obecně na nízké úrovni a historicky se soustředilo v </w:t>
      </w:r>
      <w:r w:rsidRPr="009E5F5F">
        <w:rPr>
          <w:b/>
          <w:szCs w:val="20"/>
        </w:rPr>
        <w:t>České republice a </w:t>
      </w:r>
      <w:r w:rsidRPr="009E5F5F">
        <w:t xml:space="preserve">na </w:t>
      </w:r>
      <w:r w:rsidRPr="009E5F5F">
        <w:rPr>
          <w:b/>
          <w:szCs w:val="20"/>
        </w:rPr>
        <w:t>Slovensku</w:t>
      </w:r>
      <w:r w:rsidRPr="009E5F5F">
        <w:t xml:space="preserve">, dochází nyní i </w:t>
      </w:r>
      <w:r w:rsidRPr="009E5F5F">
        <w:rPr>
          <w:b/>
          <w:szCs w:val="20"/>
        </w:rPr>
        <w:t>na Kypru, na východě Německa, ve Španělsku, ve Finsku a </w:t>
      </w:r>
      <w:r w:rsidRPr="009E5F5F">
        <w:t>v </w:t>
      </w:r>
      <w:r w:rsidRPr="009E5F5F">
        <w:rPr>
          <w:b/>
          <w:szCs w:val="20"/>
        </w:rPr>
        <w:t>Norsku</w:t>
      </w:r>
      <w:r w:rsidRPr="009E5F5F">
        <w:t xml:space="preserve"> (obrázek 2.11). Pokud jde o amfetamin, uvedlo nárůst počtu jeho zjištění 21 z celkem 38 měst, která mají k dispozici data z analýzy odpadních vod za roky 2017 a 2018 (obrázek 2.10).</w:t>
      </w:r>
    </w:p>
    <w:p w:rsidR="00614E59" w:rsidRPr="009E5F5F" w:rsidRDefault="000032C0" w:rsidP="00614E59">
      <w:pPr>
        <w:pStyle w:val="EDR-Heading2"/>
        <w:rPr>
          <w:rFonts w:ascii="Arial" w:hAnsi="Arial" w:cs="Arial"/>
          <w:b/>
          <w:i w:val="0"/>
          <w:sz w:val="20"/>
          <w:szCs w:val="20"/>
        </w:rPr>
      </w:pPr>
      <w:r w:rsidRPr="009E5F5F">
        <w:rPr>
          <w:rFonts w:ascii="Arial" w:hAnsi="Arial"/>
          <w:b/>
          <w:i w:val="0"/>
          <w:sz w:val="20"/>
          <w:szCs w:val="20"/>
        </w:rPr>
        <w:t>Mobilní zdravotnictví: určování zeměpisné polohy a virtuální realita – nové nástroje pro řešení drogové problematiky</w:t>
      </w:r>
      <w:bookmarkEnd w:id="1"/>
    </w:p>
    <w:p w:rsidR="00142AC5" w:rsidRDefault="00834C21" w:rsidP="00834C21">
      <w:pPr>
        <w:spacing w:after="260" w:line="260" w:lineRule="exact"/>
      </w:pPr>
      <w:r w:rsidRPr="009E5F5F">
        <w:t>Díky současnému široce rozšířenému používání mobilních zařízení mají aplikace mobilního zdravotnictví rozsáhlý potenciál zvýšit dosah zdravotnických služeb souvisejících s drogami. Podle zprávy se nová digitální řešení tohoto druhu stále častěji využívají při prevenci a léčbě drogové závislosti a </w:t>
      </w:r>
      <w:r w:rsidR="00C6263E" w:rsidRPr="009E5F5F">
        <w:t xml:space="preserve">při </w:t>
      </w:r>
      <w:r w:rsidRPr="009E5F5F">
        <w:t>minimalizaci škod.</w:t>
      </w:r>
    </w:p>
    <w:p w:rsidR="0019413F" w:rsidRPr="009E5F5F" w:rsidRDefault="00834C21" w:rsidP="00834C21">
      <w:pPr>
        <w:spacing w:after="260" w:line="260" w:lineRule="exact"/>
        <w:rPr>
          <w:rFonts w:cs="Arial"/>
          <w:szCs w:val="20"/>
        </w:rPr>
      </w:pPr>
      <w:r w:rsidRPr="009E5F5F">
        <w:t xml:space="preserve">Zpráva uvádí řadu aplikací mobilního zdravotnictví s různými primárními cíli – od šíření informací (např. o dostupnosti služeb) až po podporu intervencí (např. diáře užívání drog) a zotavení se ze závislosti (např. pomocí svépomocných </w:t>
      </w:r>
      <w:proofErr w:type="gramStart"/>
      <w:r w:rsidRPr="009E5F5F">
        <w:t>aplikací) (obrázek</w:t>
      </w:r>
      <w:proofErr w:type="gramEnd"/>
      <w:r w:rsidRPr="009E5F5F">
        <w:t xml:space="preserve"> 3.2). Příkladem inovace je využití určování zeměpisné polohy k tomu, aby injekční uživatelé drog snáze našli místa pro výměnu jehel a stříkaček. Předmětem zkoumání je rovněž využití technologie virtuální reality (v podobě sluchátek) pro reprodukci realistických prostředí souvisejících s drogami, která vyvolávají bažení po droze a pomáhají pacientům vyvinout si proti ní odolnost. Velký počet aplikací mobilního zdravotnictví vyvíjených v Evropě se zaměřuje na šíření informací o minimalizaci škod způsobených drogami mezi mladými uživateli, zejména účastníky party. Ačkoli je nyní k dispozici řada aplikací mobilního zdravotnictví, nedávná studie </w:t>
      </w:r>
      <w:r w:rsidRPr="009E5F5F">
        <w:rPr>
          <w:b/>
          <w:szCs w:val="20"/>
        </w:rPr>
        <w:t>EMCDDA</w:t>
      </w:r>
      <w:r w:rsidRPr="009E5F5F">
        <w:t xml:space="preserve"> zjistila, že ne všechny disponují solidními kvalitativními standardy, pravidly pro ochranu údajů a vědeckým hodnocením (</w:t>
      </w:r>
      <w:r w:rsidRPr="009E5F5F">
        <w:rPr>
          <w:szCs w:val="20"/>
          <w:vertAlign w:val="superscript"/>
        </w:rPr>
        <w:t>6</w:t>
      </w:r>
      <w:r w:rsidRPr="009E5F5F">
        <w:t>).</w:t>
      </w:r>
    </w:p>
    <w:p w:rsidR="00BE20D1" w:rsidRPr="009E5F5F" w:rsidRDefault="00BE20D1" w:rsidP="0019413F">
      <w:pPr>
        <w:spacing w:after="0" w:line="260" w:lineRule="exact"/>
        <w:rPr>
          <w:rFonts w:cs="Arial"/>
          <w:szCs w:val="20"/>
        </w:rPr>
      </w:pPr>
      <w:r w:rsidRPr="009E5F5F">
        <w:rPr>
          <w:szCs w:val="20"/>
        </w:rPr>
        <w:t>---</w:t>
      </w:r>
    </w:p>
    <w:p w:rsidR="0003354D" w:rsidRPr="009E5F5F" w:rsidRDefault="0003354D" w:rsidP="004F48CE">
      <w:pPr>
        <w:spacing w:after="260" w:line="260" w:lineRule="exact"/>
        <w:rPr>
          <w:rFonts w:cs="Arial"/>
          <w:color w:val="000000"/>
          <w:szCs w:val="20"/>
        </w:rPr>
      </w:pPr>
      <w:r w:rsidRPr="009E5F5F">
        <w:rPr>
          <w:b/>
          <w:bCs/>
          <w:color w:val="000000"/>
          <w:szCs w:val="20"/>
        </w:rPr>
        <w:t xml:space="preserve">Předsedkyně správní rady EMCDDA Laura </w:t>
      </w:r>
      <w:proofErr w:type="spellStart"/>
      <w:r w:rsidRPr="009E5F5F">
        <w:rPr>
          <w:b/>
          <w:bCs/>
          <w:color w:val="000000"/>
          <w:szCs w:val="20"/>
        </w:rPr>
        <w:t>d’Arrigová</w:t>
      </w:r>
      <w:proofErr w:type="spellEnd"/>
      <w:r w:rsidRPr="009E5F5F">
        <w:rPr>
          <w:color w:val="000000"/>
          <w:szCs w:val="20"/>
        </w:rPr>
        <w:t xml:space="preserve"> na závěr dodala: „Evropská zpráva o drogách 2019 přichází v době, která je zásadní pro úvahy o vývoji protidrogové politiky, protože příští rok bude ve znamení závěrečného hodnocení protidrogové strategie EU (2013–2020). Během tohoto období Evropa v oblasti drogové problematiky čelila některým dramatickým změnám včetně výskytu velkého množství nekontrolovaných látek. Pochopení současných problémů s drogami nám umožňuje připravit se na budoucí výzvy v této rychle se měnící a složité oblasti. Proto má role, kterou EMCDDA hraje při vypracovávání analýz současné drogové situace v Evropě založených na důkazech, tak zásadní význam.“</w:t>
      </w:r>
    </w:p>
    <w:p w:rsidR="00010117" w:rsidRPr="009E5F5F" w:rsidRDefault="00614E59" w:rsidP="00F104F0">
      <w:pPr>
        <w:spacing w:after="0" w:line="240" w:lineRule="auto"/>
        <w:rPr>
          <w:rFonts w:cs="Arial"/>
          <w:b/>
          <w:sz w:val="18"/>
          <w:szCs w:val="18"/>
        </w:rPr>
      </w:pPr>
      <w:r w:rsidRPr="009E5F5F">
        <w:rPr>
          <w:b/>
          <w:sz w:val="18"/>
          <w:szCs w:val="18"/>
        </w:rPr>
        <w:t>Poznámky</w:t>
      </w:r>
    </w:p>
    <w:p w:rsidR="00614E59" w:rsidRPr="009E5F5F" w:rsidRDefault="00614E59" w:rsidP="00F104F0">
      <w:pPr>
        <w:spacing w:after="0" w:line="240" w:lineRule="auto"/>
        <w:rPr>
          <w:rFonts w:cs="Arial"/>
          <w:b/>
          <w:sz w:val="18"/>
          <w:szCs w:val="18"/>
          <w:highlight w:val="yellow"/>
        </w:rPr>
      </w:pPr>
    </w:p>
    <w:p w:rsidR="007F0E33" w:rsidRPr="009E5F5F" w:rsidRDefault="00614E59" w:rsidP="00FE56AC">
      <w:pPr>
        <w:pStyle w:val="newsNotes"/>
      </w:pPr>
      <w:r w:rsidRPr="009E5F5F">
        <w:t>(</w:t>
      </w:r>
      <w:r w:rsidRPr="009E5F5F">
        <w:rPr>
          <w:vertAlign w:val="superscript"/>
        </w:rPr>
        <w:t>1</w:t>
      </w:r>
      <w:r w:rsidRPr="009E5F5F">
        <w:t xml:space="preserve">) Soubor publikací s názvem Evropská zpráva o drogách 2019 je k dispozici na adrese </w:t>
      </w:r>
      <w:hyperlink r:id="rId11" w:history="1">
        <w:r w:rsidRPr="009E5F5F">
          <w:rPr>
            <w:rStyle w:val="Hypertextovodkaz"/>
          </w:rPr>
          <w:t>www.emcdda.europa.eu/edr2019</w:t>
        </w:r>
      </w:hyperlink>
      <w:hyperlink r:id="rId12" w:history="1">
        <w:r w:rsidR="00142AC5">
          <w:t xml:space="preserve"> </w:t>
        </w:r>
        <w:r w:rsidR="00142AC5">
          <w:br/>
        </w:r>
        <w:r w:rsidRPr="009E5F5F">
          <w:t>Referenčním</w:t>
        </w:r>
      </w:hyperlink>
      <w:r w:rsidRPr="009E5F5F">
        <w:t xml:space="preserve"> obdobím pro všechny grafy, analýzy a data uvedené v této zprávě je situace v oblasti drog do konce roku 2018. </w:t>
      </w:r>
      <w:r w:rsidR="00142AC5">
        <w:br/>
      </w:r>
      <w:r w:rsidRPr="009E5F5F">
        <w:t xml:space="preserve">Obrázky a grafika, na něž se v této tiskové zprávě odkazuje, se nacházejí přímo ve zprávě. Další číselné údaje a tabulky lze nalézt </w:t>
      </w:r>
      <w:r w:rsidR="00142AC5">
        <w:br/>
      </w:r>
      <w:r w:rsidRPr="009E5F5F">
        <w:t>ve statistickém věstníku pro rok 2019 (</w:t>
      </w:r>
      <w:hyperlink r:id="rId13" w:history="1">
        <w:r w:rsidRPr="009E5F5F">
          <w:rPr>
            <w:rStyle w:val="Hypertextovodkaz"/>
          </w:rPr>
          <w:t>www.emcdda.europa.eu/stats/2019</w:t>
        </w:r>
      </w:hyperlink>
      <w:r w:rsidRPr="009E5F5F">
        <w:t>).</w:t>
      </w:r>
    </w:p>
    <w:p w:rsidR="00915AF4" w:rsidRPr="009E5F5F" w:rsidRDefault="00F104F0" w:rsidP="009903EA">
      <w:pPr>
        <w:pStyle w:val="newsNotes"/>
      </w:pPr>
      <w:r w:rsidRPr="009E5F5F">
        <w:t>(</w:t>
      </w:r>
      <w:r w:rsidRPr="009E5F5F">
        <w:rPr>
          <w:vertAlign w:val="superscript"/>
        </w:rPr>
        <w:t>2</w:t>
      </w:r>
      <w:r w:rsidRPr="009E5F5F">
        <w:t xml:space="preserve">) </w:t>
      </w:r>
      <w:proofErr w:type="spellStart"/>
      <w:r w:rsidRPr="009E5F5F">
        <w:t>Uberizace</w:t>
      </w:r>
      <w:proofErr w:type="spellEnd"/>
      <w:r w:rsidRPr="009E5F5F">
        <w:t xml:space="preserve">: akt nebo proces změny trhu se službou ve formě zavedení jiného způsobu jejího nákupu či využívání, zejména s pomocí mobilních technologií (anglický slovník </w:t>
      </w:r>
      <w:proofErr w:type="spellStart"/>
      <w:r w:rsidRPr="009E5F5F">
        <w:t>Collins</w:t>
      </w:r>
      <w:proofErr w:type="spellEnd"/>
      <w:r w:rsidRPr="009E5F5F">
        <w:t>).</w:t>
      </w:r>
    </w:p>
    <w:p w:rsidR="00F60D54" w:rsidRPr="009E5F5F" w:rsidRDefault="00F60D54" w:rsidP="009C1344">
      <w:pPr>
        <w:pStyle w:val="newsNotes"/>
      </w:pPr>
      <w:r w:rsidRPr="009E5F5F">
        <w:t>(</w:t>
      </w:r>
      <w:r w:rsidRPr="009E5F5F">
        <w:rPr>
          <w:vertAlign w:val="superscript"/>
        </w:rPr>
        <w:t>3</w:t>
      </w:r>
      <w:r w:rsidRPr="009E5F5F">
        <w:t xml:space="preserve">) </w:t>
      </w:r>
      <w:hyperlink r:id="rId14" w:history="1">
        <w:r w:rsidRPr="009E5F5F">
          <w:rPr>
            <w:rStyle w:val="Hypertextovodkaz"/>
          </w:rPr>
          <w:t>https://onlinelibrary.wiley.com/doi/10.1111/add.14525</w:t>
        </w:r>
      </w:hyperlink>
    </w:p>
    <w:p w:rsidR="00FA4D7B" w:rsidRPr="009E5F5F" w:rsidRDefault="00B64CC4" w:rsidP="009C1344">
      <w:pPr>
        <w:pStyle w:val="newsNotes"/>
      </w:pPr>
      <w:r w:rsidRPr="009E5F5F">
        <w:t>(</w:t>
      </w:r>
      <w:r w:rsidRPr="009E5F5F">
        <w:rPr>
          <w:vertAlign w:val="superscript"/>
        </w:rPr>
        <w:t>4</w:t>
      </w:r>
      <w:r w:rsidRPr="009E5F5F">
        <w:t xml:space="preserve">) </w:t>
      </w:r>
      <w:proofErr w:type="spellStart"/>
      <w:r w:rsidRPr="009E5F5F">
        <w:t>Tetrahydrokanabinol</w:t>
      </w:r>
      <w:proofErr w:type="spellEnd"/>
      <w:r w:rsidRPr="009E5F5F">
        <w:t xml:space="preserve"> (THC) má ve velké míře na svědomí intoxikační účinky konopí.</w:t>
      </w:r>
    </w:p>
    <w:p w:rsidR="00B64CC4" w:rsidRPr="009E5F5F" w:rsidRDefault="00B64CC4" w:rsidP="009C1344">
      <w:pPr>
        <w:pStyle w:val="newsNotes"/>
      </w:pPr>
      <w:r w:rsidRPr="009E5F5F">
        <w:t>(</w:t>
      </w:r>
      <w:r w:rsidRPr="009E5F5F">
        <w:rPr>
          <w:vertAlign w:val="superscript"/>
        </w:rPr>
        <w:t>5</w:t>
      </w:r>
      <w:r w:rsidRPr="009E5F5F">
        <w:t xml:space="preserve">) </w:t>
      </w:r>
      <w:hyperlink r:id="rId15" w:history="1">
        <w:r w:rsidR="00604F6A" w:rsidRPr="00DE0AE7">
          <w:rPr>
            <w:rStyle w:val="Hypertextovodkaz"/>
          </w:rPr>
          <w:t>www.emcdda.europa.eu/news/2018/low-thc-cannabis-products-being-sold-in-the-EU%E2%80%93key-legal-issues</w:t>
        </w:r>
      </w:hyperlink>
    </w:p>
    <w:p w:rsidR="00444E57" w:rsidRPr="009E5F5F" w:rsidRDefault="0069327A" w:rsidP="009C1344">
      <w:pPr>
        <w:pStyle w:val="newsNotes"/>
      </w:pPr>
      <w:r w:rsidRPr="009E5F5F">
        <w:t>(</w:t>
      </w:r>
      <w:r w:rsidRPr="009E5F5F">
        <w:rPr>
          <w:vertAlign w:val="superscript"/>
        </w:rPr>
        <w:t>6</w:t>
      </w:r>
      <w:r w:rsidRPr="009E5F5F">
        <w:t xml:space="preserve">) </w:t>
      </w:r>
      <w:hyperlink r:id="rId16" w:history="1">
        <w:r w:rsidR="00604F6A" w:rsidRPr="00DE0AE7">
          <w:rPr>
            <w:rStyle w:val="Hypertextovodkaz"/>
          </w:rPr>
          <w:t>www.emcdda.europa.eu/publications/emcdda-papers/m-health-applications-for-responding-to-drug-use</w:t>
        </w:r>
      </w:hyperlink>
    </w:p>
    <w:sectPr w:rsidR="00444E57" w:rsidRPr="009E5F5F" w:rsidSect="0069299A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648" w:right="849" w:bottom="709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7F" w:rsidRPr="00837D15" w:rsidRDefault="008C3C7F" w:rsidP="009A28FB">
      <w:pPr>
        <w:spacing w:after="0" w:line="240" w:lineRule="auto"/>
      </w:pPr>
      <w:r w:rsidRPr="00837D15">
        <w:separator/>
      </w:r>
    </w:p>
  </w:endnote>
  <w:endnote w:type="continuationSeparator" w:id="0">
    <w:p w:rsidR="008C3C7F" w:rsidRPr="00837D15" w:rsidRDefault="008C3C7F" w:rsidP="009A28FB">
      <w:pPr>
        <w:spacing w:after="0" w:line="240" w:lineRule="auto"/>
      </w:pPr>
      <w:r w:rsidRPr="00837D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rivia Sans Book">
    <w:altName w:val="Arial"/>
    <w:panose1 w:val="00000000000000000000"/>
    <w:charset w:val="00"/>
    <w:family w:val="modern"/>
    <w:notTrueType/>
    <w:pitch w:val="variable"/>
    <w:sig w:usb0="00000001" w:usb1="1000207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5C70E0" w:rsidRPr="00837D15" w:rsidTr="002F4635">
      <w:tc>
        <w:tcPr>
          <w:tcW w:w="1444" w:type="dxa"/>
        </w:tcPr>
        <w:p w:rsidR="005C70E0" w:rsidRPr="00837D15" w:rsidRDefault="005C70E0" w:rsidP="00D37865">
          <w:pPr>
            <w:pStyle w:val="newsCoordinates"/>
          </w:pPr>
          <w:r w:rsidRPr="00837D15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FD7E116" wp14:editId="27E2E5E8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14AA6934"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837D15">
            <w:rPr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5C70E0" w:rsidRPr="00837D15" w:rsidRDefault="005C70E0" w:rsidP="00BF1E3B">
          <w:pPr>
            <w:pStyle w:val="newsReference"/>
            <w:jc w:val="right"/>
          </w:pPr>
          <w:r w:rsidRPr="00837D15">
            <w:fldChar w:fldCharType="begin"/>
          </w:r>
          <w:r w:rsidRPr="00837D15">
            <w:instrText xml:space="preserve"> PAGE   \* MERGEFORMAT </w:instrText>
          </w:r>
          <w:r w:rsidRPr="00837D15">
            <w:fldChar w:fldCharType="separate"/>
          </w:r>
          <w:r w:rsidR="00702B70">
            <w:rPr>
              <w:noProof/>
            </w:rPr>
            <w:t>2</w:t>
          </w:r>
          <w:r w:rsidRPr="00837D15">
            <w:fldChar w:fldCharType="end"/>
          </w:r>
        </w:p>
      </w:tc>
    </w:tr>
  </w:tbl>
  <w:p w:rsidR="005C70E0" w:rsidRPr="00837D15" w:rsidRDefault="005C70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5C70E0" w:rsidRPr="009E5F5F" w:rsidTr="00173446">
      <w:tc>
        <w:tcPr>
          <w:tcW w:w="7196" w:type="dxa"/>
        </w:tcPr>
        <w:p w:rsidR="008F50A2" w:rsidRDefault="005C70E0" w:rsidP="008F50A2">
          <w:pPr>
            <w:pStyle w:val="newsCoordinates"/>
          </w:pPr>
          <w:r w:rsidRPr="009E5F5F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35200" behindDoc="1" locked="0" layoutInCell="1" allowOverlap="1" wp14:anchorId="469AB1C0" wp14:editId="37A1DCA1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D342BAF" id="Straight Connector 4" o:spid="_x0000_s1026" style="position:absolute;z-index:-251681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8F50A2" w:rsidRPr="00944227">
            <w:t xml:space="preserve">Kontakt: </w:t>
          </w:r>
          <w:proofErr w:type="spellStart"/>
          <w:r w:rsidR="008F50A2" w:rsidRPr="00944227">
            <w:t>Kathy</w:t>
          </w:r>
          <w:proofErr w:type="spellEnd"/>
          <w:r w:rsidR="008F50A2" w:rsidRPr="00944227">
            <w:t xml:space="preserve"> </w:t>
          </w:r>
          <w:proofErr w:type="spellStart"/>
          <w:r w:rsidR="008F50A2" w:rsidRPr="00944227">
            <w:t>Robertson</w:t>
          </w:r>
          <w:proofErr w:type="spellEnd"/>
          <w:r w:rsidR="008F50A2" w:rsidRPr="00944227">
            <w:t xml:space="preserve">, </w:t>
          </w:r>
          <w:r w:rsidR="008F50A2" w:rsidRPr="0069299A">
            <w:rPr>
              <w:szCs w:val="14"/>
            </w:rPr>
            <w:t>tisková mluvčí</w:t>
          </w:r>
          <w:r w:rsidR="008F50A2" w:rsidRPr="0069299A">
            <w:rPr>
              <w:noProof/>
              <w:szCs w:val="1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82304" behindDoc="1" locked="0" layoutInCell="1" allowOverlap="1" wp14:anchorId="3E612ADE" wp14:editId="30B66A61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-251634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8F50A2">
            <w:t xml:space="preserve"> </w:t>
          </w:r>
        </w:p>
        <w:p w:rsidR="008F50A2" w:rsidRDefault="008F50A2" w:rsidP="008F50A2">
          <w:pPr>
            <w:pStyle w:val="newsCoordinates"/>
          </w:pPr>
          <w:proofErr w:type="spellStart"/>
          <w:r w:rsidRPr="00944227">
            <w:t>Praça</w:t>
          </w:r>
          <w:proofErr w:type="spellEnd"/>
          <w:r w:rsidRPr="00944227">
            <w:t xml:space="preserve"> Europa 1, Cais do </w:t>
          </w:r>
          <w:proofErr w:type="spellStart"/>
          <w:r w:rsidRPr="00944227">
            <w:t>Sodré</w:t>
          </w:r>
          <w:proofErr w:type="spellEnd"/>
          <w:r w:rsidRPr="00944227">
            <w:t>, 1249-289 Lisabon, Portugalsko</w:t>
          </w:r>
        </w:p>
        <w:p w:rsidR="005C70E0" w:rsidRPr="009E5F5F" w:rsidRDefault="008F50A2" w:rsidP="008F50A2">
          <w:pPr>
            <w:pStyle w:val="newsCoordinates"/>
          </w:pPr>
          <w:r w:rsidRPr="00944227">
            <w:t>Tel. (351) 211 21 02 00</w:t>
          </w:r>
          <w:r>
            <w:t xml:space="preserve">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5C70E0" w:rsidRPr="009E5F5F" w:rsidRDefault="009E5F5F" w:rsidP="009E5F5F">
          <w:pPr>
            <w:pStyle w:val="newsReference"/>
            <w:jc w:val="right"/>
          </w:pPr>
          <w:r w:rsidRPr="008F50A2">
            <w:t>CS</w:t>
          </w:r>
          <w:r w:rsidR="005C70E0" w:rsidRPr="008F50A2">
            <w:t xml:space="preserve"> — </w:t>
          </w:r>
          <w:r w:rsidRPr="008F50A2">
            <w:t>č.</w:t>
          </w:r>
          <w:r w:rsidR="005C70E0" w:rsidRPr="008F50A2">
            <w:t xml:space="preserve"> </w:t>
          </w:r>
          <w:r w:rsidR="006E7CA7" w:rsidRPr="008F50A2">
            <w:t>4</w:t>
          </w:r>
          <w:r w:rsidR="005C70E0" w:rsidRPr="008F50A2">
            <w:t>/2019</w:t>
          </w:r>
        </w:p>
      </w:tc>
    </w:tr>
  </w:tbl>
  <w:p w:rsidR="005C70E0" w:rsidRPr="009E5F5F" w:rsidRDefault="005C70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7F" w:rsidRPr="00837D15" w:rsidRDefault="008C3C7F" w:rsidP="009A28FB">
      <w:pPr>
        <w:spacing w:after="0" w:line="240" w:lineRule="auto"/>
      </w:pPr>
      <w:r w:rsidRPr="00837D15">
        <w:separator/>
      </w:r>
    </w:p>
  </w:footnote>
  <w:footnote w:type="continuationSeparator" w:id="0">
    <w:p w:rsidR="008C3C7F" w:rsidRPr="00837D15" w:rsidRDefault="008C3C7F" w:rsidP="009A28FB">
      <w:pPr>
        <w:spacing w:after="0" w:line="240" w:lineRule="auto"/>
      </w:pPr>
      <w:r w:rsidRPr="00837D1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6E7CA7" w:rsidRPr="00837D15" w:rsidTr="0080424D">
      <w:tc>
        <w:tcPr>
          <w:tcW w:w="10490" w:type="dxa"/>
        </w:tcPr>
        <w:p w:rsidR="006E7CA7" w:rsidRPr="00837D15" w:rsidRDefault="006E7CA7" w:rsidP="00702B70">
          <w:pPr>
            <w:spacing w:line="260" w:lineRule="exact"/>
          </w:pPr>
          <w:r w:rsidRPr="008F50A2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80256" behindDoc="1" locked="0" layoutInCell="1" allowOverlap="1" wp14:anchorId="5DB37B48" wp14:editId="498D640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03778953" id="Straight Connector 11" o:spid="_x0000_s1026" style="position:absolute;z-index:-251636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8F50A2">
            <w:rPr>
              <w:noProof/>
              <w:sz w:val="14"/>
              <w:szCs w:val="14"/>
              <w:lang w:eastAsia="en-GB"/>
            </w:rPr>
            <w:t xml:space="preserve">  </w:t>
          </w:r>
          <w:r w:rsidR="009E5F5F" w:rsidRPr="008F50A2">
            <w:rPr>
              <w:noProof/>
              <w:sz w:val="14"/>
              <w:szCs w:val="14"/>
              <w:lang w:eastAsia="en-GB"/>
            </w:rPr>
            <w:t>Evropská zpráva o drogách</w:t>
          </w:r>
          <w:r w:rsidRPr="008F50A2">
            <w:rPr>
              <w:noProof/>
              <w:sz w:val="14"/>
              <w:szCs w:val="14"/>
              <w:lang w:eastAsia="en-GB"/>
            </w:rPr>
            <w:t xml:space="preserve"> 2019 I </w:t>
          </w:r>
          <w:proofErr w:type="gramStart"/>
          <w:r w:rsidRPr="006E7CA7">
            <w:rPr>
              <w:sz w:val="14"/>
              <w:szCs w:val="14"/>
            </w:rPr>
            <w:t>6.6.2019</w:t>
          </w:r>
          <w:proofErr w:type="gramEnd"/>
        </w:p>
      </w:tc>
    </w:tr>
  </w:tbl>
  <w:p w:rsidR="005C70E0" w:rsidRPr="00837D15" w:rsidRDefault="005C70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129C"/>
    <w:multiLevelType w:val="hybridMultilevel"/>
    <w:tmpl w:val="202E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9E"/>
    <w:rsid w:val="000032C0"/>
    <w:rsid w:val="00010117"/>
    <w:rsid w:val="00014E8E"/>
    <w:rsid w:val="00017257"/>
    <w:rsid w:val="00021599"/>
    <w:rsid w:val="0002231D"/>
    <w:rsid w:val="00022F41"/>
    <w:rsid w:val="000230AD"/>
    <w:rsid w:val="00024D00"/>
    <w:rsid w:val="000259D5"/>
    <w:rsid w:val="00030A97"/>
    <w:rsid w:val="0003352E"/>
    <w:rsid w:val="0003354D"/>
    <w:rsid w:val="00036DAA"/>
    <w:rsid w:val="00043393"/>
    <w:rsid w:val="0004758B"/>
    <w:rsid w:val="00051D97"/>
    <w:rsid w:val="000535B7"/>
    <w:rsid w:val="00067DD3"/>
    <w:rsid w:val="00070119"/>
    <w:rsid w:val="00071435"/>
    <w:rsid w:val="000768EA"/>
    <w:rsid w:val="0009643E"/>
    <w:rsid w:val="0009682B"/>
    <w:rsid w:val="00096DC9"/>
    <w:rsid w:val="00097846"/>
    <w:rsid w:val="0009790A"/>
    <w:rsid w:val="000A5A2F"/>
    <w:rsid w:val="000B15EF"/>
    <w:rsid w:val="000B1E13"/>
    <w:rsid w:val="000B4A89"/>
    <w:rsid w:val="000C07B5"/>
    <w:rsid w:val="000C0E3B"/>
    <w:rsid w:val="000C6200"/>
    <w:rsid w:val="000F10B7"/>
    <w:rsid w:val="000F533D"/>
    <w:rsid w:val="000F79AD"/>
    <w:rsid w:val="00105BFC"/>
    <w:rsid w:val="00107C96"/>
    <w:rsid w:val="00112272"/>
    <w:rsid w:val="00113EB9"/>
    <w:rsid w:val="00121FD3"/>
    <w:rsid w:val="00122002"/>
    <w:rsid w:val="00125BB1"/>
    <w:rsid w:val="00131E39"/>
    <w:rsid w:val="00132EF5"/>
    <w:rsid w:val="00135E63"/>
    <w:rsid w:val="00140659"/>
    <w:rsid w:val="0014212B"/>
    <w:rsid w:val="00142AC5"/>
    <w:rsid w:val="001456D7"/>
    <w:rsid w:val="001530AB"/>
    <w:rsid w:val="0016546B"/>
    <w:rsid w:val="00173446"/>
    <w:rsid w:val="00176130"/>
    <w:rsid w:val="001764C9"/>
    <w:rsid w:val="00176897"/>
    <w:rsid w:val="0017713E"/>
    <w:rsid w:val="001800D0"/>
    <w:rsid w:val="00184A4A"/>
    <w:rsid w:val="001853D8"/>
    <w:rsid w:val="00190301"/>
    <w:rsid w:val="0019413F"/>
    <w:rsid w:val="001A3338"/>
    <w:rsid w:val="001A37A5"/>
    <w:rsid w:val="001A5796"/>
    <w:rsid w:val="001A7E7D"/>
    <w:rsid w:val="001B1428"/>
    <w:rsid w:val="001C218B"/>
    <w:rsid w:val="001C795A"/>
    <w:rsid w:val="001D194D"/>
    <w:rsid w:val="001D4928"/>
    <w:rsid w:val="001D5C26"/>
    <w:rsid w:val="001D7206"/>
    <w:rsid w:val="001E10CF"/>
    <w:rsid w:val="001F184E"/>
    <w:rsid w:val="001F70B4"/>
    <w:rsid w:val="00200CFE"/>
    <w:rsid w:val="00210425"/>
    <w:rsid w:val="002150C0"/>
    <w:rsid w:val="00223753"/>
    <w:rsid w:val="00223CFC"/>
    <w:rsid w:val="00223D32"/>
    <w:rsid w:val="0022424F"/>
    <w:rsid w:val="00232782"/>
    <w:rsid w:val="00234912"/>
    <w:rsid w:val="00235FEF"/>
    <w:rsid w:val="0023735B"/>
    <w:rsid w:val="00237942"/>
    <w:rsid w:val="002557B0"/>
    <w:rsid w:val="0025682F"/>
    <w:rsid w:val="00260892"/>
    <w:rsid w:val="002646E4"/>
    <w:rsid w:val="00266CC5"/>
    <w:rsid w:val="00271650"/>
    <w:rsid w:val="00271D5E"/>
    <w:rsid w:val="0027252D"/>
    <w:rsid w:val="00272DAC"/>
    <w:rsid w:val="002735EA"/>
    <w:rsid w:val="00276ACE"/>
    <w:rsid w:val="0028141E"/>
    <w:rsid w:val="002948E2"/>
    <w:rsid w:val="0029601D"/>
    <w:rsid w:val="002975BB"/>
    <w:rsid w:val="002A517C"/>
    <w:rsid w:val="002A61F7"/>
    <w:rsid w:val="002B05CE"/>
    <w:rsid w:val="002B45AC"/>
    <w:rsid w:val="002B782C"/>
    <w:rsid w:val="002C42DF"/>
    <w:rsid w:val="002D1CE2"/>
    <w:rsid w:val="002D615D"/>
    <w:rsid w:val="002D6E74"/>
    <w:rsid w:val="002E4FF1"/>
    <w:rsid w:val="002E5920"/>
    <w:rsid w:val="002E6BCF"/>
    <w:rsid w:val="002F2919"/>
    <w:rsid w:val="002F4635"/>
    <w:rsid w:val="002F6BB8"/>
    <w:rsid w:val="00302AB9"/>
    <w:rsid w:val="0030335E"/>
    <w:rsid w:val="0031303D"/>
    <w:rsid w:val="00314E4D"/>
    <w:rsid w:val="00315FDC"/>
    <w:rsid w:val="0033158E"/>
    <w:rsid w:val="00333175"/>
    <w:rsid w:val="00342887"/>
    <w:rsid w:val="00343F33"/>
    <w:rsid w:val="003601E9"/>
    <w:rsid w:val="00360E30"/>
    <w:rsid w:val="0036121D"/>
    <w:rsid w:val="003637D6"/>
    <w:rsid w:val="003719D8"/>
    <w:rsid w:val="00374B6A"/>
    <w:rsid w:val="00377F12"/>
    <w:rsid w:val="00380985"/>
    <w:rsid w:val="00380B88"/>
    <w:rsid w:val="00382438"/>
    <w:rsid w:val="0038367B"/>
    <w:rsid w:val="00386153"/>
    <w:rsid w:val="00387136"/>
    <w:rsid w:val="00387D02"/>
    <w:rsid w:val="003911BD"/>
    <w:rsid w:val="00392582"/>
    <w:rsid w:val="003967B9"/>
    <w:rsid w:val="003B3314"/>
    <w:rsid w:val="003B41B1"/>
    <w:rsid w:val="003B609D"/>
    <w:rsid w:val="003B6198"/>
    <w:rsid w:val="003C0395"/>
    <w:rsid w:val="003D1DC8"/>
    <w:rsid w:val="003D499E"/>
    <w:rsid w:val="003E49E6"/>
    <w:rsid w:val="003E5C4F"/>
    <w:rsid w:val="003F0B5B"/>
    <w:rsid w:val="003F1EF2"/>
    <w:rsid w:val="00401FE1"/>
    <w:rsid w:val="0040227A"/>
    <w:rsid w:val="00404699"/>
    <w:rsid w:val="00407D12"/>
    <w:rsid w:val="00411581"/>
    <w:rsid w:val="004137B0"/>
    <w:rsid w:val="00414BE7"/>
    <w:rsid w:val="0041592A"/>
    <w:rsid w:val="00421741"/>
    <w:rsid w:val="004221D3"/>
    <w:rsid w:val="00422D23"/>
    <w:rsid w:val="0042673A"/>
    <w:rsid w:val="00427F90"/>
    <w:rsid w:val="00433A2E"/>
    <w:rsid w:val="00435B20"/>
    <w:rsid w:val="0044111C"/>
    <w:rsid w:val="00444805"/>
    <w:rsid w:val="00444E57"/>
    <w:rsid w:val="00445080"/>
    <w:rsid w:val="00452282"/>
    <w:rsid w:val="004528C9"/>
    <w:rsid w:val="0045468D"/>
    <w:rsid w:val="004576BE"/>
    <w:rsid w:val="004718B7"/>
    <w:rsid w:val="0047267B"/>
    <w:rsid w:val="004847FB"/>
    <w:rsid w:val="0049030E"/>
    <w:rsid w:val="00492D1D"/>
    <w:rsid w:val="00495750"/>
    <w:rsid w:val="00495BD6"/>
    <w:rsid w:val="00496D31"/>
    <w:rsid w:val="004A2838"/>
    <w:rsid w:val="004A4A47"/>
    <w:rsid w:val="004A50C0"/>
    <w:rsid w:val="004B197E"/>
    <w:rsid w:val="004B5C5E"/>
    <w:rsid w:val="004C1991"/>
    <w:rsid w:val="004C3028"/>
    <w:rsid w:val="004C3758"/>
    <w:rsid w:val="004C4E0F"/>
    <w:rsid w:val="004C72C5"/>
    <w:rsid w:val="004D1EEC"/>
    <w:rsid w:val="004D2238"/>
    <w:rsid w:val="004D6E0C"/>
    <w:rsid w:val="004D6EF6"/>
    <w:rsid w:val="004E0A87"/>
    <w:rsid w:val="004E4BCC"/>
    <w:rsid w:val="004E5073"/>
    <w:rsid w:val="004F31E2"/>
    <w:rsid w:val="004F48CE"/>
    <w:rsid w:val="0050289D"/>
    <w:rsid w:val="00504795"/>
    <w:rsid w:val="005202E3"/>
    <w:rsid w:val="00520EF1"/>
    <w:rsid w:val="0052662A"/>
    <w:rsid w:val="00534436"/>
    <w:rsid w:val="00542CEE"/>
    <w:rsid w:val="00553490"/>
    <w:rsid w:val="00555EB1"/>
    <w:rsid w:val="005653DD"/>
    <w:rsid w:val="0058458A"/>
    <w:rsid w:val="00585138"/>
    <w:rsid w:val="00586C9B"/>
    <w:rsid w:val="00586D99"/>
    <w:rsid w:val="005872F8"/>
    <w:rsid w:val="00593AD2"/>
    <w:rsid w:val="005A0BDB"/>
    <w:rsid w:val="005A0DC8"/>
    <w:rsid w:val="005A5FBD"/>
    <w:rsid w:val="005B05A0"/>
    <w:rsid w:val="005B0652"/>
    <w:rsid w:val="005B0882"/>
    <w:rsid w:val="005B1B63"/>
    <w:rsid w:val="005B4AD5"/>
    <w:rsid w:val="005C0B7C"/>
    <w:rsid w:val="005C4033"/>
    <w:rsid w:val="005C70E0"/>
    <w:rsid w:val="005D0005"/>
    <w:rsid w:val="005D3B29"/>
    <w:rsid w:val="005E30DE"/>
    <w:rsid w:val="005F02AA"/>
    <w:rsid w:val="005F216C"/>
    <w:rsid w:val="005F4112"/>
    <w:rsid w:val="005F4208"/>
    <w:rsid w:val="00604F6A"/>
    <w:rsid w:val="00605CC5"/>
    <w:rsid w:val="0060741C"/>
    <w:rsid w:val="006116D9"/>
    <w:rsid w:val="00614E59"/>
    <w:rsid w:val="0061593B"/>
    <w:rsid w:val="00617225"/>
    <w:rsid w:val="00617F26"/>
    <w:rsid w:val="00623A55"/>
    <w:rsid w:val="006276D7"/>
    <w:rsid w:val="00630D0B"/>
    <w:rsid w:val="00636199"/>
    <w:rsid w:val="0063677C"/>
    <w:rsid w:val="00640A96"/>
    <w:rsid w:val="006431DF"/>
    <w:rsid w:val="00646FD6"/>
    <w:rsid w:val="00647423"/>
    <w:rsid w:val="00654158"/>
    <w:rsid w:val="00660BBB"/>
    <w:rsid w:val="00661AD8"/>
    <w:rsid w:val="00664783"/>
    <w:rsid w:val="00666A63"/>
    <w:rsid w:val="00671B31"/>
    <w:rsid w:val="00672271"/>
    <w:rsid w:val="00690EA4"/>
    <w:rsid w:val="0069299A"/>
    <w:rsid w:val="0069327A"/>
    <w:rsid w:val="00695C11"/>
    <w:rsid w:val="00697D66"/>
    <w:rsid w:val="006A1B4E"/>
    <w:rsid w:val="006B120D"/>
    <w:rsid w:val="006B332C"/>
    <w:rsid w:val="006B35B2"/>
    <w:rsid w:val="006B4652"/>
    <w:rsid w:val="006D07C0"/>
    <w:rsid w:val="006D32C8"/>
    <w:rsid w:val="006D4E4D"/>
    <w:rsid w:val="006E607C"/>
    <w:rsid w:val="006E7CA7"/>
    <w:rsid w:val="006F0FA0"/>
    <w:rsid w:val="006F52AF"/>
    <w:rsid w:val="00700BFA"/>
    <w:rsid w:val="00702B70"/>
    <w:rsid w:val="007030F0"/>
    <w:rsid w:val="00706FB0"/>
    <w:rsid w:val="007073EC"/>
    <w:rsid w:val="00721A95"/>
    <w:rsid w:val="0072582E"/>
    <w:rsid w:val="007274D4"/>
    <w:rsid w:val="007277DA"/>
    <w:rsid w:val="00730132"/>
    <w:rsid w:val="0073368B"/>
    <w:rsid w:val="007439AA"/>
    <w:rsid w:val="0074506D"/>
    <w:rsid w:val="00745CA7"/>
    <w:rsid w:val="00746842"/>
    <w:rsid w:val="00747DD8"/>
    <w:rsid w:val="0075116C"/>
    <w:rsid w:val="00752941"/>
    <w:rsid w:val="00755B93"/>
    <w:rsid w:val="0076037B"/>
    <w:rsid w:val="00765793"/>
    <w:rsid w:val="0076798F"/>
    <w:rsid w:val="00771473"/>
    <w:rsid w:val="007719D6"/>
    <w:rsid w:val="00773814"/>
    <w:rsid w:val="007753D9"/>
    <w:rsid w:val="00777DCB"/>
    <w:rsid w:val="007815B9"/>
    <w:rsid w:val="00786F82"/>
    <w:rsid w:val="00791F09"/>
    <w:rsid w:val="00794473"/>
    <w:rsid w:val="00796846"/>
    <w:rsid w:val="00797486"/>
    <w:rsid w:val="007A5574"/>
    <w:rsid w:val="007B0E03"/>
    <w:rsid w:val="007B1CCD"/>
    <w:rsid w:val="007B5C00"/>
    <w:rsid w:val="007B716C"/>
    <w:rsid w:val="007C0D14"/>
    <w:rsid w:val="007C4BE9"/>
    <w:rsid w:val="007D1577"/>
    <w:rsid w:val="007D38EC"/>
    <w:rsid w:val="007D565B"/>
    <w:rsid w:val="007D7466"/>
    <w:rsid w:val="007E0244"/>
    <w:rsid w:val="007E0ADC"/>
    <w:rsid w:val="007E419A"/>
    <w:rsid w:val="007E4CA0"/>
    <w:rsid w:val="007F0E33"/>
    <w:rsid w:val="00801A02"/>
    <w:rsid w:val="0081055A"/>
    <w:rsid w:val="00812100"/>
    <w:rsid w:val="0081367A"/>
    <w:rsid w:val="00813FB5"/>
    <w:rsid w:val="008223AE"/>
    <w:rsid w:val="00824E15"/>
    <w:rsid w:val="008342AC"/>
    <w:rsid w:val="00834C21"/>
    <w:rsid w:val="00836D1E"/>
    <w:rsid w:val="00837D15"/>
    <w:rsid w:val="00841E86"/>
    <w:rsid w:val="008463BA"/>
    <w:rsid w:val="00854790"/>
    <w:rsid w:val="0086645F"/>
    <w:rsid w:val="00867769"/>
    <w:rsid w:val="00870C92"/>
    <w:rsid w:val="008734E8"/>
    <w:rsid w:val="00881730"/>
    <w:rsid w:val="00881B2A"/>
    <w:rsid w:val="00883C30"/>
    <w:rsid w:val="0088426B"/>
    <w:rsid w:val="00884A13"/>
    <w:rsid w:val="008A1057"/>
    <w:rsid w:val="008A180F"/>
    <w:rsid w:val="008C1172"/>
    <w:rsid w:val="008C3C7F"/>
    <w:rsid w:val="008D2735"/>
    <w:rsid w:val="008D4761"/>
    <w:rsid w:val="008D54B3"/>
    <w:rsid w:val="008E14ED"/>
    <w:rsid w:val="008E3895"/>
    <w:rsid w:val="008F02ED"/>
    <w:rsid w:val="008F1312"/>
    <w:rsid w:val="008F1445"/>
    <w:rsid w:val="008F177B"/>
    <w:rsid w:val="008F399E"/>
    <w:rsid w:val="008F4BAA"/>
    <w:rsid w:val="008F50A2"/>
    <w:rsid w:val="008F5D18"/>
    <w:rsid w:val="00902300"/>
    <w:rsid w:val="00904C55"/>
    <w:rsid w:val="00906967"/>
    <w:rsid w:val="00906CD1"/>
    <w:rsid w:val="0090785E"/>
    <w:rsid w:val="00911711"/>
    <w:rsid w:val="00912CFD"/>
    <w:rsid w:val="0091589E"/>
    <w:rsid w:val="00915AF4"/>
    <w:rsid w:val="00917217"/>
    <w:rsid w:val="0092380B"/>
    <w:rsid w:val="0092599F"/>
    <w:rsid w:val="00934F06"/>
    <w:rsid w:val="00937334"/>
    <w:rsid w:val="00940850"/>
    <w:rsid w:val="00942873"/>
    <w:rsid w:val="00955F0C"/>
    <w:rsid w:val="009576A0"/>
    <w:rsid w:val="00971783"/>
    <w:rsid w:val="00974A27"/>
    <w:rsid w:val="009805DB"/>
    <w:rsid w:val="00980CD0"/>
    <w:rsid w:val="0098366C"/>
    <w:rsid w:val="009903EA"/>
    <w:rsid w:val="00994B9B"/>
    <w:rsid w:val="009A15D8"/>
    <w:rsid w:val="009A20B2"/>
    <w:rsid w:val="009A28FB"/>
    <w:rsid w:val="009B210D"/>
    <w:rsid w:val="009B5537"/>
    <w:rsid w:val="009B7B82"/>
    <w:rsid w:val="009C1344"/>
    <w:rsid w:val="009C7DC4"/>
    <w:rsid w:val="009D0197"/>
    <w:rsid w:val="009D3DBB"/>
    <w:rsid w:val="009D6255"/>
    <w:rsid w:val="009E0BE3"/>
    <w:rsid w:val="009E2F0F"/>
    <w:rsid w:val="009E5F5F"/>
    <w:rsid w:val="009E601B"/>
    <w:rsid w:val="009E6BC9"/>
    <w:rsid w:val="009F4FB0"/>
    <w:rsid w:val="009F6A9C"/>
    <w:rsid w:val="00A00F6E"/>
    <w:rsid w:val="00A01D9C"/>
    <w:rsid w:val="00A0788A"/>
    <w:rsid w:val="00A10960"/>
    <w:rsid w:val="00A11E9A"/>
    <w:rsid w:val="00A11FA9"/>
    <w:rsid w:val="00A16B77"/>
    <w:rsid w:val="00A21D3D"/>
    <w:rsid w:val="00A23BB8"/>
    <w:rsid w:val="00A30288"/>
    <w:rsid w:val="00A311EF"/>
    <w:rsid w:val="00A318CD"/>
    <w:rsid w:val="00A3254D"/>
    <w:rsid w:val="00A35F73"/>
    <w:rsid w:val="00A36227"/>
    <w:rsid w:val="00A43559"/>
    <w:rsid w:val="00A44A5F"/>
    <w:rsid w:val="00A54C2C"/>
    <w:rsid w:val="00A64A46"/>
    <w:rsid w:val="00A64B2D"/>
    <w:rsid w:val="00A661E2"/>
    <w:rsid w:val="00A66AB7"/>
    <w:rsid w:val="00A71090"/>
    <w:rsid w:val="00A726EE"/>
    <w:rsid w:val="00A856B7"/>
    <w:rsid w:val="00A9089F"/>
    <w:rsid w:val="00A92FDC"/>
    <w:rsid w:val="00A97578"/>
    <w:rsid w:val="00AB0369"/>
    <w:rsid w:val="00AC4489"/>
    <w:rsid w:val="00AC44E7"/>
    <w:rsid w:val="00AC5C9D"/>
    <w:rsid w:val="00AC7CB6"/>
    <w:rsid w:val="00AD5D66"/>
    <w:rsid w:val="00AD73C3"/>
    <w:rsid w:val="00AD7BFC"/>
    <w:rsid w:val="00AD7EAD"/>
    <w:rsid w:val="00AE093C"/>
    <w:rsid w:val="00AE1738"/>
    <w:rsid w:val="00AE30BD"/>
    <w:rsid w:val="00AE4303"/>
    <w:rsid w:val="00AE5053"/>
    <w:rsid w:val="00AF13B3"/>
    <w:rsid w:val="00AF259D"/>
    <w:rsid w:val="00AF5376"/>
    <w:rsid w:val="00B040BD"/>
    <w:rsid w:val="00B058D8"/>
    <w:rsid w:val="00B11B73"/>
    <w:rsid w:val="00B15648"/>
    <w:rsid w:val="00B25554"/>
    <w:rsid w:val="00B272F1"/>
    <w:rsid w:val="00B35C7F"/>
    <w:rsid w:val="00B3758D"/>
    <w:rsid w:val="00B37B1B"/>
    <w:rsid w:val="00B465B2"/>
    <w:rsid w:val="00B50536"/>
    <w:rsid w:val="00B51E08"/>
    <w:rsid w:val="00B527A0"/>
    <w:rsid w:val="00B531B5"/>
    <w:rsid w:val="00B54446"/>
    <w:rsid w:val="00B57464"/>
    <w:rsid w:val="00B61036"/>
    <w:rsid w:val="00B64CC4"/>
    <w:rsid w:val="00B72DD3"/>
    <w:rsid w:val="00B7335C"/>
    <w:rsid w:val="00B85F98"/>
    <w:rsid w:val="00B877B7"/>
    <w:rsid w:val="00B922D1"/>
    <w:rsid w:val="00B97733"/>
    <w:rsid w:val="00B97BC5"/>
    <w:rsid w:val="00BB19BD"/>
    <w:rsid w:val="00BB60CF"/>
    <w:rsid w:val="00BB7A14"/>
    <w:rsid w:val="00BC3685"/>
    <w:rsid w:val="00BD39C2"/>
    <w:rsid w:val="00BD6335"/>
    <w:rsid w:val="00BE11C1"/>
    <w:rsid w:val="00BE1BCB"/>
    <w:rsid w:val="00BE20D1"/>
    <w:rsid w:val="00BE2D26"/>
    <w:rsid w:val="00BE35EB"/>
    <w:rsid w:val="00BE4F90"/>
    <w:rsid w:val="00BF1E3B"/>
    <w:rsid w:val="00BF4BC0"/>
    <w:rsid w:val="00C02D58"/>
    <w:rsid w:val="00C219B6"/>
    <w:rsid w:val="00C31F45"/>
    <w:rsid w:val="00C36BC1"/>
    <w:rsid w:val="00C3792F"/>
    <w:rsid w:val="00C54D8A"/>
    <w:rsid w:val="00C6086D"/>
    <w:rsid w:val="00C6093D"/>
    <w:rsid w:val="00C60DC1"/>
    <w:rsid w:val="00C6263E"/>
    <w:rsid w:val="00C628C4"/>
    <w:rsid w:val="00C63254"/>
    <w:rsid w:val="00C64A0E"/>
    <w:rsid w:val="00C6637F"/>
    <w:rsid w:val="00C74EF6"/>
    <w:rsid w:val="00C753DB"/>
    <w:rsid w:val="00C76471"/>
    <w:rsid w:val="00C874C0"/>
    <w:rsid w:val="00C939E7"/>
    <w:rsid w:val="00CA02BC"/>
    <w:rsid w:val="00CA0D08"/>
    <w:rsid w:val="00CA27BA"/>
    <w:rsid w:val="00CA2FF5"/>
    <w:rsid w:val="00CA36F9"/>
    <w:rsid w:val="00CA6AA7"/>
    <w:rsid w:val="00CB0245"/>
    <w:rsid w:val="00CB2CDF"/>
    <w:rsid w:val="00CB49DA"/>
    <w:rsid w:val="00CB57E0"/>
    <w:rsid w:val="00CC05D1"/>
    <w:rsid w:val="00CC1F19"/>
    <w:rsid w:val="00CC1FA7"/>
    <w:rsid w:val="00CC310C"/>
    <w:rsid w:val="00CC4FDA"/>
    <w:rsid w:val="00CC5D2C"/>
    <w:rsid w:val="00CC6A8B"/>
    <w:rsid w:val="00CF08B2"/>
    <w:rsid w:val="00CF7144"/>
    <w:rsid w:val="00D01335"/>
    <w:rsid w:val="00D01606"/>
    <w:rsid w:val="00D0281F"/>
    <w:rsid w:val="00D03EC6"/>
    <w:rsid w:val="00D14738"/>
    <w:rsid w:val="00D16E75"/>
    <w:rsid w:val="00D23E54"/>
    <w:rsid w:val="00D26F2B"/>
    <w:rsid w:val="00D318EF"/>
    <w:rsid w:val="00D3312B"/>
    <w:rsid w:val="00D37865"/>
    <w:rsid w:val="00D40AED"/>
    <w:rsid w:val="00D47F57"/>
    <w:rsid w:val="00D517DC"/>
    <w:rsid w:val="00D57367"/>
    <w:rsid w:val="00D61CD0"/>
    <w:rsid w:val="00D660E0"/>
    <w:rsid w:val="00D72280"/>
    <w:rsid w:val="00D7261B"/>
    <w:rsid w:val="00D74328"/>
    <w:rsid w:val="00D76273"/>
    <w:rsid w:val="00D80365"/>
    <w:rsid w:val="00D83B61"/>
    <w:rsid w:val="00D84AE3"/>
    <w:rsid w:val="00D92A34"/>
    <w:rsid w:val="00D9584A"/>
    <w:rsid w:val="00DD0256"/>
    <w:rsid w:val="00DE2939"/>
    <w:rsid w:val="00DF0510"/>
    <w:rsid w:val="00DF645E"/>
    <w:rsid w:val="00E0646C"/>
    <w:rsid w:val="00E23613"/>
    <w:rsid w:val="00E26C6E"/>
    <w:rsid w:val="00E309E1"/>
    <w:rsid w:val="00E3177C"/>
    <w:rsid w:val="00E321BA"/>
    <w:rsid w:val="00E321C4"/>
    <w:rsid w:val="00E3714F"/>
    <w:rsid w:val="00E40066"/>
    <w:rsid w:val="00E43B13"/>
    <w:rsid w:val="00E50C3B"/>
    <w:rsid w:val="00E523CD"/>
    <w:rsid w:val="00E54C35"/>
    <w:rsid w:val="00E57C9D"/>
    <w:rsid w:val="00E66CCD"/>
    <w:rsid w:val="00E72512"/>
    <w:rsid w:val="00E752F2"/>
    <w:rsid w:val="00E77945"/>
    <w:rsid w:val="00E81F3D"/>
    <w:rsid w:val="00E83B9A"/>
    <w:rsid w:val="00E83FC3"/>
    <w:rsid w:val="00E8643D"/>
    <w:rsid w:val="00E86BF8"/>
    <w:rsid w:val="00EB72F7"/>
    <w:rsid w:val="00EB7C7C"/>
    <w:rsid w:val="00EC26D6"/>
    <w:rsid w:val="00EC56CF"/>
    <w:rsid w:val="00ED1B38"/>
    <w:rsid w:val="00ED32EE"/>
    <w:rsid w:val="00EE23CC"/>
    <w:rsid w:val="00EE2417"/>
    <w:rsid w:val="00EE5192"/>
    <w:rsid w:val="00EF08D3"/>
    <w:rsid w:val="00EF740F"/>
    <w:rsid w:val="00F00508"/>
    <w:rsid w:val="00F03393"/>
    <w:rsid w:val="00F03856"/>
    <w:rsid w:val="00F03F58"/>
    <w:rsid w:val="00F042E4"/>
    <w:rsid w:val="00F05EDD"/>
    <w:rsid w:val="00F06CDE"/>
    <w:rsid w:val="00F104F0"/>
    <w:rsid w:val="00F11B2A"/>
    <w:rsid w:val="00F21CA9"/>
    <w:rsid w:val="00F23A29"/>
    <w:rsid w:val="00F24096"/>
    <w:rsid w:val="00F256D4"/>
    <w:rsid w:val="00F26897"/>
    <w:rsid w:val="00F40816"/>
    <w:rsid w:val="00F414EF"/>
    <w:rsid w:val="00F46420"/>
    <w:rsid w:val="00F47542"/>
    <w:rsid w:val="00F51556"/>
    <w:rsid w:val="00F5245D"/>
    <w:rsid w:val="00F60D54"/>
    <w:rsid w:val="00F668F7"/>
    <w:rsid w:val="00F72E3B"/>
    <w:rsid w:val="00F72EE0"/>
    <w:rsid w:val="00F74E2C"/>
    <w:rsid w:val="00F93F7E"/>
    <w:rsid w:val="00F978F9"/>
    <w:rsid w:val="00FA1AB6"/>
    <w:rsid w:val="00FA3EE7"/>
    <w:rsid w:val="00FA4D7B"/>
    <w:rsid w:val="00FA5F4A"/>
    <w:rsid w:val="00FB351B"/>
    <w:rsid w:val="00FB3C07"/>
    <w:rsid w:val="00FC0187"/>
    <w:rsid w:val="00FC3E3F"/>
    <w:rsid w:val="00FD4AE6"/>
    <w:rsid w:val="00FD515D"/>
    <w:rsid w:val="00FE3416"/>
    <w:rsid w:val="00FE3721"/>
    <w:rsid w:val="00FE478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556"/>
    <w:rPr>
      <w:rFonts w:ascii="Arial" w:hAnsi="Arial"/>
      <w:sz w:val="20"/>
    </w:rPr>
  </w:style>
  <w:style w:type="paragraph" w:styleId="Nadpis1">
    <w:name w:val="heading 1"/>
    <w:basedOn w:val="Normln"/>
    <w:link w:val="Nadpis1Char"/>
    <w:uiPriority w:val="9"/>
    <w:qFormat/>
    <w:rsid w:val="009E0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ln"/>
    <w:qFormat/>
    <w:rsid w:val="001F70B4"/>
    <w:pPr>
      <w:tabs>
        <w:tab w:val="left" w:pos="5205"/>
      </w:tabs>
      <w:spacing w:before="480" w:after="112" w:line="300" w:lineRule="exact"/>
    </w:pPr>
    <w:rPr>
      <w:caps/>
      <w:sz w:val="26"/>
    </w:rPr>
  </w:style>
  <w:style w:type="paragraph" w:styleId="Zhlav">
    <w:name w:val="header"/>
    <w:basedOn w:val="Normln"/>
    <w:link w:val="Zhlav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721"/>
  </w:style>
  <w:style w:type="paragraph" w:styleId="Zpat">
    <w:name w:val="footer"/>
    <w:basedOn w:val="Normln"/>
    <w:link w:val="Zpat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8FB"/>
  </w:style>
  <w:style w:type="character" w:styleId="Hypertextovodkaz">
    <w:name w:val="Hyperlink"/>
    <w:basedOn w:val="Standardnpsmoodstavce"/>
    <w:uiPriority w:val="99"/>
    <w:unhideWhenUsed/>
    <w:qFormat/>
    <w:rsid w:val="00D72280"/>
    <w:rPr>
      <w:rFonts w:ascii="Arial" w:hAnsi="Arial"/>
      <w:b w:val="0"/>
      <w:i w:val="0"/>
      <w:color w:val="003399"/>
      <w:sz w:val="16"/>
      <w:u w:val="none"/>
    </w:rPr>
  </w:style>
  <w:style w:type="paragraph" w:customStyle="1" w:styleId="newsSubTitle">
    <w:name w:val="newsSubTitle"/>
    <w:basedOn w:val="Normln"/>
    <w:qFormat/>
    <w:rsid w:val="00CA2FF5"/>
    <w:pPr>
      <w:spacing w:after="300" w:line="300" w:lineRule="exact"/>
    </w:pPr>
    <w:rPr>
      <w:b/>
      <w:sz w:val="26"/>
    </w:rPr>
  </w:style>
  <w:style w:type="paragraph" w:customStyle="1" w:styleId="newsContent">
    <w:name w:val="newsContent"/>
    <w:basedOn w:val="Normln"/>
    <w:link w:val="newsContentChar"/>
    <w:qFormat/>
    <w:rsid w:val="00B97BC5"/>
    <w:pPr>
      <w:spacing w:after="260" w:line="260" w:lineRule="exact"/>
    </w:pPr>
    <w:rPr>
      <w:color w:val="000000" w:themeColor="text1"/>
    </w:rPr>
  </w:style>
  <w:style w:type="paragraph" w:customStyle="1" w:styleId="newsAddress">
    <w:name w:val="newsAddress"/>
    <w:basedOn w:val="Zpat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sz w:val="14"/>
    </w:rPr>
  </w:style>
  <w:style w:type="paragraph" w:customStyle="1" w:styleId="newsReference">
    <w:name w:val="newsReference"/>
    <w:basedOn w:val="Normln"/>
    <w:qFormat/>
    <w:rsid w:val="00974A27"/>
    <w:pPr>
      <w:spacing w:after="0" w:line="200" w:lineRule="exact"/>
    </w:pPr>
    <w:rPr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Zstupntext">
    <w:name w:val="Placeholder Text"/>
    <w:basedOn w:val="Standardnpsmoodstavce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Zpat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404699"/>
    <w:pPr>
      <w:spacing w:after="0" w:line="220" w:lineRule="exact"/>
    </w:pPr>
    <w:rPr>
      <w:color w:val="auto"/>
      <w:sz w:val="16"/>
    </w:rPr>
  </w:style>
  <w:style w:type="table" w:styleId="Mkatabulky">
    <w:name w:val="Table Grid"/>
    <w:basedOn w:val="Normlntabulka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ln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Standardnpsmoodstavce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404699"/>
    <w:rPr>
      <w:rFonts w:ascii="Arial" w:hAnsi="Arial"/>
      <w:color w:val="000000" w:themeColor="text1"/>
      <w:sz w:val="16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EDR-Heading2">
    <w:name w:val="EDR-Heading 2"/>
    <w:basedOn w:val="Normln"/>
    <w:link w:val="EDR-Heading2Char"/>
    <w:qFormat/>
    <w:rsid w:val="00614E59"/>
    <w:pPr>
      <w:keepNext/>
      <w:keepLines/>
      <w:spacing w:before="100" w:beforeAutospacing="1" w:after="120" w:line="312" w:lineRule="auto"/>
      <w:contextualSpacing/>
      <w:outlineLvl w:val="1"/>
    </w:pPr>
    <w:rPr>
      <w:rFonts w:ascii="Calibri" w:eastAsia="Simsun (Founder Extended)" w:hAnsi="Calibri" w:cs="Times New Roman"/>
      <w:i/>
      <w:iCs/>
      <w:color w:val="000000"/>
      <w:sz w:val="28"/>
      <w:szCs w:val="28"/>
    </w:rPr>
  </w:style>
  <w:style w:type="character" w:customStyle="1" w:styleId="EDR-Heading2Char">
    <w:name w:val="EDR-Heading 2 Char"/>
    <w:basedOn w:val="Standardnpsmoodstavce"/>
    <w:link w:val="EDR-Heading2"/>
    <w:rsid w:val="00614E59"/>
    <w:rPr>
      <w:rFonts w:ascii="Calibri" w:eastAsia="Simsun (Founder Extended)" w:hAnsi="Calibri" w:cs="Times New Roman"/>
      <w:i/>
      <w:iCs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14E59"/>
    <w:pPr>
      <w:ind w:left="720"/>
      <w:contextualSpacing/>
    </w:pPr>
    <w:rPr>
      <w:rFonts w:ascii="Calibri" w:eastAsia="ヒラギノ角ゴ Pro W3" w:hAnsi="Calibri" w:cs="Times New Roman"/>
      <w:color w:val="000000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614E5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4E59"/>
    <w:rPr>
      <w:sz w:val="20"/>
      <w:szCs w:val="20"/>
    </w:rPr>
  </w:style>
  <w:style w:type="character" w:customStyle="1" w:styleId="header-line-3">
    <w:name w:val="header-line-3"/>
    <w:rsid w:val="00614E59"/>
  </w:style>
  <w:style w:type="character" w:customStyle="1" w:styleId="tgc">
    <w:name w:val="_tgc"/>
    <w:rsid w:val="00A64B2D"/>
  </w:style>
  <w:style w:type="character" w:styleId="Odkaznakoment">
    <w:name w:val="annotation reference"/>
    <w:basedOn w:val="Standardnpsmoodstavce"/>
    <w:uiPriority w:val="99"/>
    <w:semiHidden/>
    <w:unhideWhenUsed/>
    <w:rsid w:val="00D1473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7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738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E0B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lfuvd">
    <w:name w:val="ilfuvd"/>
    <w:basedOn w:val="Standardnpsmoodstavce"/>
    <w:rsid w:val="00934F06"/>
  </w:style>
  <w:style w:type="character" w:customStyle="1" w:styleId="nondv-xref">
    <w:name w:val="nondv-xref"/>
    <w:basedOn w:val="Standardnpsmoodstavce"/>
    <w:rsid w:val="00404699"/>
    <w:rPr>
      <w:sz w:val="16"/>
    </w:rPr>
  </w:style>
  <w:style w:type="character" w:customStyle="1" w:styleId="entry-body">
    <w:name w:val="entry-body"/>
    <w:basedOn w:val="Standardnpsmoodstavce"/>
    <w:rsid w:val="00796846"/>
  </w:style>
  <w:style w:type="paragraph" w:styleId="Textpoznpodarou">
    <w:name w:val="footnote text"/>
    <w:basedOn w:val="Normln"/>
    <w:link w:val="TextpoznpodarouChar"/>
    <w:uiPriority w:val="99"/>
    <w:unhideWhenUsed/>
    <w:rsid w:val="00971783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1783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971783"/>
    <w:rPr>
      <w:vertAlign w:val="superscript"/>
    </w:rPr>
  </w:style>
  <w:style w:type="paragraph" w:customStyle="1" w:styleId="Pa16">
    <w:name w:val="Pa16"/>
    <w:basedOn w:val="Normln"/>
    <w:next w:val="Normln"/>
    <w:uiPriority w:val="99"/>
    <w:rsid w:val="006E607C"/>
    <w:pPr>
      <w:autoSpaceDE w:val="0"/>
      <w:autoSpaceDN w:val="0"/>
      <w:adjustRightInd w:val="0"/>
      <w:spacing w:after="0" w:line="181" w:lineRule="atLeast"/>
    </w:pPr>
    <w:rPr>
      <w:rFonts w:ascii="Trivia Sans Book" w:hAnsi="Trivia Sans Book"/>
      <w:sz w:val="24"/>
      <w:szCs w:val="24"/>
    </w:rPr>
  </w:style>
  <w:style w:type="paragraph" w:styleId="Revize">
    <w:name w:val="Revision"/>
    <w:hidden/>
    <w:uiPriority w:val="99"/>
    <w:semiHidden/>
    <w:rsid w:val="006E6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556"/>
    <w:rPr>
      <w:rFonts w:ascii="Arial" w:hAnsi="Arial"/>
      <w:sz w:val="20"/>
    </w:rPr>
  </w:style>
  <w:style w:type="paragraph" w:styleId="Nadpis1">
    <w:name w:val="heading 1"/>
    <w:basedOn w:val="Normln"/>
    <w:link w:val="Nadpis1Char"/>
    <w:uiPriority w:val="9"/>
    <w:qFormat/>
    <w:rsid w:val="009E0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ln"/>
    <w:qFormat/>
    <w:rsid w:val="001F70B4"/>
    <w:pPr>
      <w:tabs>
        <w:tab w:val="left" w:pos="5205"/>
      </w:tabs>
      <w:spacing w:before="480" w:after="112" w:line="300" w:lineRule="exact"/>
    </w:pPr>
    <w:rPr>
      <w:caps/>
      <w:sz w:val="26"/>
    </w:rPr>
  </w:style>
  <w:style w:type="paragraph" w:styleId="Zhlav">
    <w:name w:val="header"/>
    <w:basedOn w:val="Normln"/>
    <w:link w:val="Zhlav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721"/>
  </w:style>
  <w:style w:type="paragraph" w:styleId="Zpat">
    <w:name w:val="footer"/>
    <w:basedOn w:val="Normln"/>
    <w:link w:val="Zpat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8FB"/>
  </w:style>
  <w:style w:type="character" w:styleId="Hypertextovodkaz">
    <w:name w:val="Hyperlink"/>
    <w:basedOn w:val="Standardnpsmoodstavce"/>
    <w:uiPriority w:val="99"/>
    <w:unhideWhenUsed/>
    <w:qFormat/>
    <w:rsid w:val="00D72280"/>
    <w:rPr>
      <w:rFonts w:ascii="Arial" w:hAnsi="Arial"/>
      <w:b w:val="0"/>
      <w:i w:val="0"/>
      <w:color w:val="003399"/>
      <w:sz w:val="16"/>
      <w:u w:val="none"/>
    </w:rPr>
  </w:style>
  <w:style w:type="paragraph" w:customStyle="1" w:styleId="newsSubTitle">
    <w:name w:val="newsSubTitle"/>
    <w:basedOn w:val="Normln"/>
    <w:qFormat/>
    <w:rsid w:val="00CA2FF5"/>
    <w:pPr>
      <w:spacing w:after="300" w:line="300" w:lineRule="exact"/>
    </w:pPr>
    <w:rPr>
      <w:b/>
      <w:sz w:val="26"/>
    </w:rPr>
  </w:style>
  <w:style w:type="paragraph" w:customStyle="1" w:styleId="newsContent">
    <w:name w:val="newsContent"/>
    <w:basedOn w:val="Normln"/>
    <w:link w:val="newsContentChar"/>
    <w:qFormat/>
    <w:rsid w:val="00B97BC5"/>
    <w:pPr>
      <w:spacing w:after="260" w:line="260" w:lineRule="exact"/>
    </w:pPr>
    <w:rPr>
      <w:color w:val="000000" w:themeColor="text1"/>
    </w:rPr>
  </w:style>
  <w:style w:type="paragraph" w:customStyle="1" w:styleId="newsAddress">
    <w:name w:val="newsAddress"/>
    <w:basedOn w:val="Zpat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sz w:val="14"/>
    </w:rPr>
  </w:style>
  <w:style w:type="paragraph" w:customStyle="1" w:styleId="newsReference">
    <w:name w:val="newsReference"/>
    <w:basedOn w:val="Normln"/>
    <w:qFormat/>
    <w:rsid w:val="00974A27"/>
    <w:pPr>
      <w:spacing w:after="0" w:line="200" w:lineRule="exact"/>
    </w:pPr>
    <w:rPr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Zstupntext">
    <w:name w:val="Placeholder Text"/>
    <w:basedOn w:val="Standardnpsmoodstavce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Zpat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404699"/>
    <w:pPr>
      <w:spacing w:after="0" w:line="220" w:lineRule="exact"/>
    </w:pPr>
    <w:rPr>
      <w:color w:val="auto"/>
      <w:sz w:val="16"/>
    </w:rPr>
  </w:style>
  <w:style w:type="table" w:styleId="Mkatabulky">
    <w:name w:val="Table Grid"/>
    <w:basedOn w:val="Normlntabulka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ln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Standardnpsmoodstavce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404699"/>
    <w:rPr>
      <w:rFonts w:ascii="Arial" w:hAnsi="Arial"/>
      <w:color w:val="000000" w:themeColor="text1"/>
      <w:sz w:val="16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EDR-Heading2">
    <w:name w:val="EDR-Heading 2"/>
    <w:basedOn w:val="Normln"/>
    <w:link w:val="EDR-Heading2Char"/>
    <w:qFormat/>
    <w:rsid w:val="00614E59"/>
    <w:pPr>
      <w:keepNext/>
      <w:keepLines/>
      <w:spacing w:before="100" w:beforeAutospacing="1" w:after="120" w:line="312" w:lineRule="auto"/>
      <w:contextualSpacing/>
      <w:outlineLvl w:val="1"/>
    </w:pPr>
    <w:rPr>
      <w:rFonts w:ascii="Calibri" w:eastAsia="Simsun (Founder Extended)" w:hAnsi="Calibri" w:cs="Times New Roman"/>
      <w:i/>
      <w:iCs/>
      <w:color w:val="000000"/>
      <w:sz w:val="28"/>
      <w:szCs w:val="28"/>
    </w:rPr>
  </w:style>
  <w:style w:type="character" w:customStyle="1" w:styleId="EDR-Heading2Char">
    <w:name w:val="EDR-Heading 2 Char"/>
    <w:basedOn w:val="Standardnpsmoodstavce"/>
    <w:link w:val="EDR-Heading2"/>
    <w:rsid w:val="00614E59"/>
    <w:rPr>
      <w:rFonts w:ascii="Calibri" w:eastAsia="Simsun (Founder Extended)" w:hAnsi="Calibri" w:cs="Times New Roman"/>
      <w:i/>
      <w:iCs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14E59"/>
    <w:pPr>
      <w:ind w:left="720"/>
      <w:contextualSpacing/>
    </w:pPr>
    <w:rPr>
      <w:rFonts w:ascii="Calibri" w:eastAsia="ヒラギノ角ゴ Pro W3" w:hAnsi="Calibri" w:cs="Times New Roman"/>
      <w:color w:val="000000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614E5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4E59"/>
    <w:rPr>
      <w:sz w:val="20"/>
      <w:szCs w:val="20"/>
    </w:rPr>
  </w:style>
  <w:style w:type="character" w:customStyle="1" w:styleId="header-line-3">
    <w:name w:val="header-line-3"/>
    <w:rsid w:val="00614E59"/>
  </w:style>
  <w:style w:type="character" w:customStyle="1" w:styleId="tgc">
    <w:name w:val="_tgc"/>
    <w:rsid w:val="00A64B2D"/>
  </w:style>
  <w:style w:type="character" w:styleId="Odkaznakoment">
    <w:name w:val="annotation reference"/>
    <w:basedOn w:val="Standardnpsmoodstavce"/>
    <w:uiPriority w:val="99"/>
    <w:semiHidden/>
    <w:unhideWhenUsed/>
    <w:rsid w:val="00D1473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7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738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E0B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lfuvd">
    <w:name w:val="ilfuvd"/>
    <w:basedOn w:val="Standardnpsmoodstavce"/>
    <w:rsid w:val="00934F06"/>
  </w:style>
  <w:style w:type="character" w:customStyle="1" w:styleId="nondv-xref">
    <w:name w:val="nondv-xref"/>
    <w:basedOn w:val="Standardnpsmoodstavce"/>
    <w:rsid w:val="00404699"/>
    <w:rPr>
      <w:sz w:val="16"/>
    </w:rPr>
  </w:style>
  <w:style w:type="character" w:customStyle="1" w:styleId="entry-body">
    <w:name w:val="entry-body"/>
    <w:basedOn w:val="Standardnpsmoodstavce"/>
    <w:rsid w:val="00796846"/>
  </w:style>
  <w:style w:type="paragraph" w:styleId="Textpoznpodarou">
    <w:name w:val="footnote text"/>
    <w:basedOn w:val="Normln"/>
    <w:link w:val="TextpoznpodarouChar"/>
    <w:uiPriority w:val="99"/>
    <w:unhideWhenUsed/>
    <w:rsid w:val="00971783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1783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971783"/>
    <w:rPr>
      <w:vertAlign w:val="superscript"/>
    </w:rPr>
  </w:style>
  <w:style w:type="paragraph" w:customStyle="1" w:styleId="Pa16">
    <w:name w:val="Pa16"/>
    <w:basedOn w:val="Normln"/>
    <w:next w:val="Normln"/>
    <w:uiPriority w:val="99"/>
    <w:rsid w:val="006E607C"/>
    <w:pPr>
      <w:autoSpaceDE w:val="0"/>
      <w:autoSpaceDN w:val="0"/>
      <w:adjustRightInd w:val="0"/>
      <w:spacing w:after="0" w:line="181" w:lineRule="atLeast"/>
    </w:pPr>
    <w:rPr>
      <w:rFonts w:ascii="Trivia Sans Book" w:hAnsi="Trivia Sans Book"/>
      <w:sz w:val="24"/>
      <w:szCs w:val="24"/>
    </w:rPr>
  </w:style>
  <w:style w:type="paragraph" w:styleId="Revize">
    <w:name w:val="Revision"/>
    <w:hidden/>
    <w:uiPriority w:val="99"/>
    <w:semiHidden/>
    <w:rsid w:val="006E6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stats/20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e.eu/data/stats2019).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mcdda.europa.eu/publications/emcdda-papers/m-health-applications-for-responding-to-drug-u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mcdda.europa.eu/news/2018/low-thc-cannabis-products-being-sold-in-the-EU%E2%80%93key-legal-issue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onlinelibrary.wiley.com/doi/10.1111/add.145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_E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DBF1-1051-4567-B8ED-3CC7EFD6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News-release_EN_2015.dotx</Template>
  <TotalTime>1</TotalTime>
  <Pages>4</Pages>
  <Words>2503</Words>
  <Characters>15113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 EN</vt:lpstr>
      <vt:lpstr>News release EN</vt:lpstr>
    </vt:vector>
  </TitlesOfParts>
  <Manager>EMCDDA</Manager>
  <Company>CDT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CDT</dc:creator>
  <cp:keywords>News release EN</cp:keywords>
  <cp:lastModifiedBy>Hladná Renata</cp:lastModifiedBy>
  <cp:revision>2</cp:revision>
  <cp:lastPrinted>2019-05-28T11:16:00Z</cp:lastPrinted>
  <dcterms:created xsi:type="dcterms:W3CDTF">2019-06-06T06:34:00Z</dcterms:created>
  <dcterms:modified xsi:type="dcterms:W3CDTF">2019-06-06T06:34:00Z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